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乌民委发〔20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乌审旗民族事务委员会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全旗古籍业务培训的通知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为深入贯彻中央、自治区党委和市委民族工作会议精神，全面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准确把握和贯彻习近平总书记关于加强和改进民族工作的重要思想，切实加强民族古籍整理工作，提升古籍整理工作人员的业务水平，决定举办全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古籍业务培训班，现将相关事宜通知如下：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东方明珠六楼培训中心。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三、参训人员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从事蒙古文古籍文献搜集整理人员。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本次培训所产生的伙食费、培训费、资料费由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民族事务委员会承担。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五、其它事项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东方明珠六</w:t>
      </w:r>
      <w:r>
        <w:rPr>
          <w:rFonts w:hint="eastAsia" w:ascii="仿宋_GB2312" w:hAnsi="仿宋_GB2312" w:eastAsia="仿宋_GB2312" w:cs="仿宋_GB2312"/>
          <w:sz w:val="32"/>
          <w:szCs w:val="32"/>
        </w:rPr>
        <w:t>楼报到。请各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认真做好参训人员选派及报名工作，于202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日前将《参训人员报名表》（附件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旗民族事务委员会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303办公室，联系人：阿拉腾布拉格，联系电话：15894949468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严格落实参训人员健康管理主体责任，做好疫情防控相关工作。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确保参训人员近</w:t>
      </w:r>
      <w:r>
        <w:rPr>
          <w:rFonts w:hint="eastAsia" w:ascii="仿宋_GB2312" w:hAnsi="仿宋_GB2312" w:eastAsia="仿宋_GB2312" w:cs="仿宋_GB2312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未去过疫情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风险地区，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未接触疫区人员。报到时需查验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48小时内核酸检测阴性证明，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验证疫情防控“三码”进入培训场地。</w:t>
      </w:r>
    </w:p>
    <w:p>
      <w:pPr>
        <w:pStyle w:val="14"/>
        <w:numPr>
          <w:ilvl w:val="0"/>
          <w:numId w:val="0"/>
        </w:numPr>
        <w:ind w:firstLine="632" w:firstLineChars="200"/>
        <w:rPr>
          <w:rFonts w:hint="eastAsia"/>
          <w:lang w:eastAsia="zh-CN"/>
        </w:rPr>
      </w:pPr>
    </w:p>
    <w:p>
      <w:pPr>
        <w:pStyle w:val="14"/>
        <w:numPr>
          <w:ilvl w:val="0"/>
          <w:numId w:val="0"/>
        </w:numPr>
        <w:ind w:firstLine="632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附件一：参训人员报名表</w:t>
      </w:r>
    </w:p>
    <w:p>
      <w:pPr>
        <w:pStyle w:val="14"/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附件二：学员健康登记表和健康承诺书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14"/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4"/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474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乌审旗民族事务委员会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2022年6月21日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276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t>乌审旗民族事务委员会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eastAsia="仿宋_GB2312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55pt;height:0pt;width:441pt;z-index:251660288;mso-width-relative:page;mso-height-relative:page;" filled="f" stroked="t" coordsize="21600,21600" o:gfxdata="UEsDBAoAAAAAAIdO4kAAAAAAAAAAAAAAAAAEAAAAZHJzL1BLAwQUAAAACACHTuJA8se0UdMAAAAG&#10;AQAADwAAAGRycy9kb3ducmV2LnhtbE2PvU7EMBCEeyTewVokmhNnJ4h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se0UdMA&#10;AAAGAQAADwAAAAAAAAABACAAAAAiAAAAZHJzL2Rvd25yZXYueG1sUEsBAhQAFAAAAAgAh07iQE0C&#10;aSzrAQAA2A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pt;height:0pt;width:441pt;z-index:251659264;mso-width-relative:page;mso-height-relative:page;" filled="f" stroked="t" coordsize="21600,21600" o:gfxdata="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niHI0QAA&#10;AAQBAAAPAAAAAAAAAAEAIAAAACIAAABkcnMvZG93bnJldi54bWxQSwECFAAUAAAACACHTuJAE8Lt&#10;s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left"/>
        <w:rPr>
          <w:rFonts w:hint="eastAsia"/>
        </w:rPr>
        <w:sectPr>
          <w:pgSz w:w="11906" w:h="16838"/>
          <w:pgMar w:top="2098" w:right="1474" w:bottom="1984" w:left="1588" w:header="851" w:footer="1474" w:gutter="0"/>
          <w:pgNumType w:fmt="numberInDash"/>
          <w:cols w:space="720" w:num="1"/>
          <w:docGrid w:type="linesAndChars" w:linePitch="312" w:charSpace="-886"/>
        </w:sect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5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参训人员报名表</w:t>
      </w: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244"/>
        <w:gridCol w:w="1137"/>
        <w:gridCol w:w="251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4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学员健康登记表和健康承诺书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311"/>
        <w:gridCol w:w="1798"/>
        <w:gridCol w:w="2220"/>
        <w:gridCol w:w="1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参训名称</w:t>
            </w:r>
          </w:p>
        </w:tc>
        <w:tc>
          <w:tcPr>
            <w:tcW w:w="6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紧急联系人姓名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本人及共同居住人近14天内有无进出新型冠状病毒肺炎疫情中高风险地区</w:t>
            </w:r>
          </w:p>
        </w:tc>
        <w:tc>
          <w:tcPr>
            <w:tcW w:w="623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有                   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本人及共同居住人有无接触疑似、确诊新型冠状病毒肺炎患者史</w:t>
            </w:r>
          </w:p>
        </w:tc>
        <w:tc>
          <w:tcPr>
            <w:tcW w:w="623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有               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有无核酸检测合格报告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有    无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核酸采样时间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有无接种新型冠状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病毒疫苗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   无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接种疫苗时间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88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目前健康状况（有则打“√”，可多选）：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 热（ ）   咳 嗦（ ）  咽 痛（ ）  胸 闷（ ）  腹 泻（ 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头 疼（ ）   呼吸困难 （ ）   恶心恶吐 （  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其他需要说明情况</w:t>
            </w:r>
          </w:p>
        </w:tc>
        <w:tc>
          <w:tcPr>
            <w:tcW w:w="6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填报（承诺）人签名：                 填报日期：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320F0-B3B4-4E64-988D-195CADADCB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2F034A-B9DF-4AB0-B6A5-0FDA7A0960F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C3B1D0-7A9A-4998-B9FB-F1DD5270759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1301760-1A7D-4773-BFC7-DB62D23E3D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7F717C8-A153-4B86-966E-31332FD2EB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BEA0D"/>
    <w:multiLevelType w:val="singleLevel"/>
    <w:tmpl w:val="C81BEA0D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GQ4MmEwOTdlOWUyNzY5M2QzNDcxMGI1MjQ2NWIifQ=="/>
  </w:docVars>
  <w:rsids>
    <w:rsidRoot w:val="4FA32AC9"/>
    <w:rsid w:val="00042383"/>
    <w:rsid w:val="02FE3873"/>
    <w:rsid w:val="070E55B5"/>
    <w:rsid w:val="07AD0A62"/>
    <w:rsid w:val="08615D22"/>
    <w:rsid w:val="0C97166E"/>
    <w:rsid w:val="0CF0771F"/>
    <w:rsid w:val="0F6A2898"/>
    <w:rsid w:val="0FDA2B8E"/>
    <w:rsid w:val="11AF6B7B"/>
    <w:rsid w:val="1A605FA5"/>
    <w:rsid w:val="1D0657BE"/>
    <w:rsid w:val="1EA43684"/>
    <w:rsid w:val="20F74BE5"/>
    <w:rsid w:val="21BC4EE5"/>
    <w:rsid w:val="2CAA7759"/>
    <w:rsid w:val="2FE21904"/>
    <w:rsid w:val="32805C30"/>
    <w:rsid w:val="39E83AA1"/>
    <w:rsid w:val="3F5F5421"/>
    <w:rsid w:val="422478BC"/>
    <w:rsid w:val="47377997"/>
    <w:rsid w:val="4A7F76D1"/>
    <w:rsid w:val="4FA32AC9"/>
    <w:rsid w:val="507E3B82"/>
    <w:rsid w:val="50CD7B79"/>
    <w:rsid w:val="52676280"/>
    <w:rsid w:val="52E405B0"/>
    <w:rsid w:val="554360F6"/>
    <w:rsid w:val="56980883"/>
    <w:rsid w:val="5DB5305E"/>
    <w:rsid w:val="605F79E5"/>
    <w:rsid w:val="62045E49"/>
    <w:rsid w:val="63377A7A"/>
    <w:rsid w:val="68D777CC"/>
    <w:rsid w:val="697D297D"/>
    <w:rsid w:val="6A4E2FCA"/>
    <w:rsid w:val="6D955D84"/>
    <w:rsid w:val="6E1E6807"/>
    <w:rsid w:val="71114A39"/>
    <w:rsid w:val="72294931"/>
    <w:rsid w:val="7AFF6DBF"/>
    <w:rsid w:val="7C0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567"/>
    </w:pPr>
  </w:style>
  <w:style w:type="paragraph" w:styleId="5">
    <w:name w:val="Body Text"/>
    <w:basedOn w:val="1"/>
    <w:unhideWhenUsed/>
    <w:qFormat/>
    <w:uiPriority w:val="99"/>
    <w:pPr>
      <w:spacing w:afterAutospacing="0" w:line="580" w:lineRule="exact"/>
      <w:ind w:firstLine="88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hint="eastAsia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Body Text 2"/>
    <w:basedOn w:val="1"/>
    <w:qFormat/>
    <w:uiPriority w:val="0"/>
    <w:pPr>
      <w:spacing w:line="20" w:lineRule="atLeast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15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812</Words>
  <Characters>855</Characters>
  <Lines>0</Lines>
  <Paragraphs>0</Paragraphs>
  <TotalTime>6</TotalTime>
  <ScaleCrop>false</ScaleCrop>
  <LinksUpToDate>false</LinksUpToDate>
  <CharactersWithSpaces>1039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2021-01-13T07:10:00Z</dcterms:created>
  <dc:creator>Урхин</dc:creator>
  <cp:lastModifiedBy>综窗苏伦嘎</cp:lastModifiedBy>
  <cp:lastPrinted>2022-06-20T09:37:00Z</cp:lastPrinted>
  <dcterms:modified xsi:type="dcterms:W3CDTF">2022-10-28T09:09:11Z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200700061_btnclosed</vt:lpwstr>
  </property>
  <property fmtid="{D5CDD505-2E9C-101B-9397-08002B2CF9AE}" pid="4" name="ICV">
    <vt:lpwstr>149F195627374B4C91D6ACC9C576EDA9</vt:lpwstr>
  </property>
</Properties>
</file>