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BF81E">
      <w:pPr>
        <w:spacing w:line="240" w:lineRule="exact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  <w:bookmarkStart w:id="0" w:name="_GoBack"/>
      <w:bookmarkEnd w:id="0"/>
    </w:p>
    <w:p w14:paraId="5F1C7EAA">
      <w:pPr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7FF04537">
      <w:pPr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69831FDE">
      <w:pPr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64F97D19">
      <w:pPr>
        <w:spacing w:line="240" w:lineRule="exact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42B09253">
      <w:pPr>
        <w:pStyle w:val="4"/>
        <w:rPr>
          <w:rFonts w:hint="eastAsia"/>
        </w:rPr>
      </w:pPr>
    </w:p>
    <w:p w14:paraId="4E8C5159">
      <w:pPr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18ACEE12">
      <w:pPr>
        <w:pStyle w:val="4"/>
        <w:rPr>
          <w:rFonts w:hint="eastAsia"/>
        </w:rPr>
      </w:pPr>
    </w:p>
    <w:p w14:paraId="3690DBC0">
      <w:pPr>
        <w:spacing w:line="240" w:lineRule="exact"/>
        <w:ind w:left="4238" w:leftChars="342" w:hanging="3520" w:hangingChars="800"/>
        <w:jc w:val="both"/>
        <w:rPr>
          <w:rFonts w:hint="default" w:ascii="方正小标宋_GBK" w:eastAsia="方正小标宋_GBK"/>
          <w:color w:val="000000"/>
          <w:sz w:val="44"/>
          <w:szCs w:val="44"/>
          <w:lang w:val="en-US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 xml:space="preserve">        </w:t>
      </w:r>
    </w:p>
    <w:p w14:paraId="0FCBCA00">
      <w:pPr>
        <w:spacing w:line="240" w:lineRule="exact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7C615E20">
      <w:pPr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5208BABF">
      <w:pPr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48661490">
      <w:pPr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5DABE611">
      <w:pPr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395136CC">
      <w:pPr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13991B36">
      <w:pPr>
        <w:spacing w:line="240" w:lineRule="exact"/>
        <w:ind w:left="4238" w:leftChars="342" w:hanging="3520" w:hangingChars="800"/>
        <w:jc w:val="both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62DC5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 w14:paraId="650A4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 w14:paraId="21FB62DB">
      <w:pPr>
        <w:spacing w:line="56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乌能局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发</w:t>
      </w:r>
      <w:r>
        <w:rPr>
          <w:rFonts w:hint="eastAsia" w:ascii="仿宋_GB2312" w:eastAsia="仿宋_GB2312"/>
          <w:color w:val="000000"/>
          <w:sz w:val="32"/>
          <w:szCs w:val="32"/>
        </w:rPr>
        <w:t>〔202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 w14:paraId="1203E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481FE504">
      <w:pPr>
        <w:spacing w:line="560" w:lineRule="exact"/>
        <w:contextualSpacing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  <w:t>乌审旗能源局关于印发2025年能源领域</w:t>
      </w:r>
    </w:p>
    <w:p w14:paraId="221C72F6">
      <w:pPr>
        <w:spacing w:line="560" w:lineRule="exact"/>
        <w:contextualSpacing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  <w:t>“双随机、一公开”实施办法的通知</w:t>
      </w:r>
    </w:p>
    <w:p w14:paraId="3F736128">
      <w:pPr>
        <w:pStyle w:val="5"/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line="560" w:lineRule="exact"/>
        <w:ind w:left="0" w:right="0" w:firstLine="0" w:firstLineChars="0"/>
        <w:jc w:val="left"/>
        <w:rPr>
          <w:rFonts w:hint="default" w:ascii="Arial" w:hAnsi="Arial" w:cs="Arial"/>
          <w:color w:val="000000"/>
          <w:kern w:val="0"/>
          <w:sz w:val="21"/>
          <w:szCs w:val="21"/>
        </w:rPr>
      </w:pPr>
    </w:p>
    <w:p w14:paraId="1A1B473D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室、所属事业单位：</w:t>
      </w:r>
    </w:p>
    <w:p w14:paraId="628746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现将《乌审旗能源局202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年能源领域“双随机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一公开”实施办法》印发给你们，请认真贯彻执行。</w:t>
      </w:r>
    </w:p>
    <w:p w14:paraId="70C19EA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3C01B3">
      <w:pPr>
        <w:pStyle w:val="2"/>
        <w:rPr>
          <w:rFonts w:hint="eastAsia"/>
        </w:rPr>
      </w:pPr>
    </w:p>
    <w:p w14:paraId="1E17E8D8">
      <w:pPr>
        <w:spacing w:line="56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乌审旗能源局</w:t>
      </w:r>
    </w:p>
    <w:p w14:paraId="1CFABB3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43CB28D">
      <w:pPr>
        <w:spacing w:line="560" w:lineRule="exact"/>
        <w:contextualSpacing/>
        <w:jc w:val="both"/>
        <w:rPr>
          <w:rFonts w:hint="eastAsia" w:ascii="方正小标宋_GBK" w:eastAsia="方正小标宋_GBK"/>
          <w:color w:val="000000"/>
          <w:sz w:val="44"/>
        </w:rPr>
      </w:pPr>
    </w:p>
    <w:p w14:paraId="4BC5DFB3">
      <w:pPr>
        <w:spacing w:line="560" w:lineRule="exact"/>
        <w:contextualSpacing/>
        <w:jc w:val="center"/>
        <w:rPr>
          <w:rFonts w:hint="eastAsia" w:ascii="方正小标宋_GBK" w:eastAsia="方正小标宋_GBK"/>
          <w:color w:val="000000"/>
          <w:sz w:val="44"/>
        </w:rPr>
      </w:pPr>
      <w:r>
        <w:rPr>
          <w:rFonts w:hint="eastAsia" w:ascii="方正小标宋_GBK" w:eastAsia="方正小标宋_GBK"/>
          <w:color w:val="000000"/>
          <w:sz w:val="44"/>
        </w:rPr>
        <w:t>乌审旗能源局202</w:t>
      </w:r>
      <w:r>
        <w:rPr>
          <w:rFonts w:hint="eastAsia" w:ascii="方正小标宋_GBK" w:eastAsia="方正小标宋_GBK"/>
          <w:color w:val="000000"/>
          <w:sz w:val="44"/>
          <w:lang w:val="en-US" w:eastAsia="zh-CN"/>
        </w:rPr>
        <w:t>5</w:t>
      </w:r>
      <w:r>
        <w:rPr>
          <w:rFonts w:hint="eastAsia" w:ascii="方正小标宋_GBK" w:eastAsia="方正小标宋_GBK"/>
          <w:color w:val="000000"/>
          <w:sz w:val="44"/>
        </w:rPr>
        <w:t>年能源领域</w:t>
      </w:r>
    </w:p>
    <w:p w14:paraId="064C7ACE">
      <w:pPr>
        <w:spacing w:line="560" w:lineRule="exact"/>
        <w:contextualSpacing/>
        <w:jc w:val="center"/>
        <w:rPr>
          <w:rFonts w:hint="eastAsia" w:ascii="方正小标宋_GBK" w:eastAsia="方正小标宋_GBK"/>
          <w:color w:val="000000"/>
          <w:sz w:val="44"/>
        </w:rPr>
      </w:pPr>
      <w:r>
        <w:rPr>
          <w:rFonts w:hint="eastAsia" w:ascii="方正小标宋_GBK" w:eastAsia="方正小标宋_GBK"/>
          <w:color w:val="000000"/>
          <w:sz w:val="44"/>
        </w:rPr>
        <w:t>“双随机</w:t>
      </w:r>
      <w:r>
        <w:rPr>
          <w:rFonts w:hint="eastAsia" w:ascii="方正小标宋_GBK" w:eastAsia="方正小标宋_GBK"/>
          <w:color w:val="000000"/>
          <w:sz w:val="44"/>
          <w:lang w:eastAsia="zh-CN"/>
        </w:rPr>
        <w:t>、</w:t>
      </w:r>
      <w:r>
        <w:rPr>
          <w:rFonts w:hint="eastAsia" w:ascii="方正小标宋_GBK" w:eastAsia="方正小标宋_GBK"/>
          <w:color w:val="000000"/>
          <w:sz w:val="44"/>
        </w:rPr>
        <w:t>一公开”实施办法</w:t>
      </w:r>
    </w:p>
    <w:p w14:paraId="02E7B3C7">
      <w:pPr>
        <w:autoSpaceDN w:val="0"/>
        <w:spacing w:line="560" w:lineRule="exact"/>
        <w:contextualSpacing/>
        <w:rPr>
          <w:rFonts w:hint="eastAsia" w:ascii="宋体" w:eastAsia="宋体"/>
          <w:color w:val="000000"/>
          <w:sz w:val="24"/>
          <w:lang w:eastAsia="zh-CN"/>
        </w:rPr>
      </w:pPr>
    </w:p>
    <w:p w14:paraId="25A51FC5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宋体"/>
          <w:color w:val="000000"/>
          <w:sz w:val="24"/>
        </w:rPr>
        <w:t xml:space="preserve">      </w:t>
      </w:r>
      <w:r>
        <w:rPr>
          <w:rFonts w:hint="eastAsia" w:ascii="仿宋_GB2312" w:hAnsi="仿宋" w:eastAsia="仿宋_GB2312"/>
          <w:color w:val="000000"/>
          <w:sz w:val="32"/>
        </w:rPr>
        <w:t>为认真贯彻落实《国务院关于印发2016年推进简政放权放管结合优化服务改革工作要点的通知》精神，创新监管执法方式，提高监管执法效能，根据《乌审旗人民政府办公室关于全面推行“双随机</w:t>
      </w:r>
      <w:r>
        <w:rPr>
          <w:rFonts w:hint="eastAsia" w:ascii="仿宋_GB2312" w:hAnsi="仿宋" w:eastAsia="仿宋_GB2312"/>
          <w:color w:val="000000"/>
          <w:sz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32"/>
        </w:rPr>
        <w:t>一公开”工作的通知》（乌政办发〔2016〕105号）要求，制定本实施办法。</w:t>
      </w:r>
    </w:p>
    <w:p w14:paraId="62AF7323">
      <w:pPr>
        <w:autoSpaceDN w:val="0"/>
        <w:spacing w:line="560" w:lineRule="exact"/>
        <w:contextualSpacing/>
        <w:rPr>
          <w:rFonts w:hint="eastAsia" w:ascii="黑体" w:hAnsi="黑体" w:eastAsia="黑体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</w:t>
      </w:r>
      <w:r>
        <w:rPr>
          <w:rFonts w:hint="eastAsia" w:ascii="黑体" w:hAnsi="黑体" w:eastAsia="黑体"/>
          <w:color w:val="000000"/>
          <w:sz w:val="32"/>
        </w:rPr>
        <w:t>一、建立安全监管随机抽查机制</w:t>
      </w:r>
    </w:p>
    <w:p w14:paraId="53B13CFE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一）随机抽查是指随机抽取监管对象、随机选派监管人员对能源企业开展现场监管执法的一种方式，是保证监管执法权力公正运行和提高执法震慑力的有效方法，是督促落实企业主体责任和消除生产安全事故隐患的重要途径。</w:t>
      </w:r>
    </w:p>
    <w:p w14:paraId="50C0C8D1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（二）乌审旗能源局是随机抽查的主体，实施辖区内随机抽查工作。</w:t>
      </w:r>
    </w:p>
    <w:p w14:paraId="441D02B2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三）结合乌审旗能源企业实际，主要采取“定向抽查”方式，建立随机抽查对象名录库（以下称对象名录库）和随机抽查执法力量名录库（以下称执法名录库），实施“双随机”抽查。“双随机”抽查实行随机抽查事项清单制，针对不同抽查对象随机抽查不同事项清单。</w:t>
      </w:r>
    </w:p>
    <w:p w14:paraId="22BAE6A7">
      <w:pPr>
        <w:autoSpaceDN w:val="0"/>
        <w:spacing w:line="560" w:lineRule="exact"/>
        <w:contextualSpacing/>
        <w:rPr>
          <w:rFonts w:hint="eastAsia" w:ascii="黑体" w:hAnsi="黑体" w:eastAsia="黑体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</w:t>
      </w:r>
      <w:r>
        <w:rPr>
          <w:rFonts w:hint="eastAsia" w:ascii="黑体" w:hAnsi="黑体" w:eastAsia="黑体"/>
          <w:color w:val="000000"/>
          <w:sz w:val="32"/>
        </w:rPr>
        <w:t>二、建立对象名录库</w:t>
      </w:r>
    </w:p>
    <w:p w14:paraId="1A406746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（四）对象名录库。将乌审旗境内负责安全监管的能源企业全部纳入对象名录库，对象名录库定期更新，一般每年初更新一次。</w:t>
      </w:r>
    </w:p>
    <w:p w14:paraId="3F4A0771">
      <w:pPr>
        <w:autoSpaceDN w:val="0"/>
        <w:spacing w:line="560" w:lineRule="exact"/>
        <w:contextualSpacing/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</w:t>
      </w:r>
      <w:r>
        <w:rPr>
          <w:rFonts w:hint="eastAsia" w:ascii="黑体" w:hAnsi="黑体" w:eastAsia="黑体"/>
          <w:color w:val="000000"/>
          <w:sz w:val="32"/>
        </w:rPr>
        <w:t>三、建立执法名录库</w:t>
      </w:r>
    </w:p>
    <w:p w14:paraId="6B139167">
      <w:pPr>
        <w:autoSpaceDN w:val="0"/>
        <w:spacing w:line="560" w:lineRule="exact"/>
        <w:contextualSpacing/>
        <w:rPr>
          <w:rFonts w:hint="eastAsia" w:ascii="仿宋_GB2312" w:hAnsi="仿宋" w:eastAsia="仿宋_GB2312" w:cs="Times New Roman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（五）按照监管工作的不同要求、执法人员的专业特点建立执法名录库，分别负责</w:t>
      </w:r>
      <w:r>
        <w:rPr>
          <w:rFonts w:hint="eastAsia" w:ascii="仿宋_GB2312" w:hAnsi="仿宋" w:eastAsia="仿宋_GB2312" w:cs="Times New Roman"/>
          <w:color w:val="000000"/>
          <w:sz w:val="32"/>
        </w:rPr>
        <w:t>电力、新能源和可再生能源</w:t>
      </w:r>
      <w:r>
        <w:rPr>
          <w:rFonts w:hint="eastAsia" w:ascii="仿宋_GB2312" w:hAnsi="仿宋" w:eastAsia="仿宋_GB2312"/>
          <w:color w:val="000000"/>
          <w:sz w:val="32"/>
        </w:rPr>
        <w:t>企业</w:t>
      </w:r>
      <w:r>
        <w:rPr>
          <w:rFonts w:hint="eastAsia" w:ascii="仿宋_GB2312" w:hAnsi="仿宋" w:eastAsia="仿宋_GB2312" w:cs="Times New Roman"/>
          <w:color w:val="000000"/>
          <w:sz w:val="32"/>
        </w:rPr>
        <w:t>、</w:t>
      </w:r>
      <w:r>
        <w:rPr>
          <w:rFonts w:hint="eastAsia" w:ascii="仿宋_GB2312" w:hAnsi="仿宋" w:eastAsia="仿宋_GB2312" w:cs="Times New Roman"/>
          <w:color w:val="000000"/>
          <w:sz w:val="32"/>
          <w:lang w:eastAsia="zh-CN"/>
        </w:rPr>
        <w:t>油气</w:t>
      </w:r>
      <w:r>
        <w:rPr>
          <w:rFonts w:hint="eastAsia" w:ascii="仿宋_GB2312" w:hAnsi="仿宋" w:eastAsia="仿宋_GB2312" w:cs="Times New Roman"/>
          <w:color w:val="000000"/>
          <w:sz w:val="32"/>
          <w:lang w:val="en-US" w:eastAsia="zh-CN"/>
        </w:rPr>
        <w:t>长输</w:t>
      </w:r>
      <w:r>
        <w:rPr>
          <w:rFonts w:hint="eastAsia" w:ascii="仿宋_GB2312" w:hAnsi="仿宋" w:eastAsia="仿宋_GB2312" w:cs="Times New Roman"/>
          <w:color w:val="000000"/>
          <w:sz w:val="32"/>
        </w:rPr>
        <w:t>管道企业监管工作。</w:t>
      </w:r>
    </w:p>
    <w:p w14:paraId="66CA50A7">
      <w:pPr>
        <w:autoSpaceDN w:val="0"/>
        <w:spacing w:line="560" w:lineRule="exact"/>
        <w:contextualSpacing/>
        <w:rPr>
          <w:rFonts w:hint="eastAsia" w:ascii="黑体" w:hAnsi="黑体" w:eastAsia="黑体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</w:t>
      </w:r>
      <w:r>
        <w:rPr>
          <w:rFonts w:hint="eastAsia" w:ascii="仿宋_GB2312" w:hAnsi="黑体" w:eastAsia="仿宋_GB2312"/>
          <w:color w:val="000000"/>
          <w:sz w:val="32"/>
        </w:rPr>
        <w:t xml:space="preserve"> </w:t>
      </w:r>
      <w:r>
        <w:rPr>
          <w:rFonts w:hint="eastAsia" w:ascii="黑体" w:hAnsi="黑体" w:eastAsia="黑体"/>
          <w:color w:val="000000"/>
          <w:sz w:val="32"/>
        </w:rPr>
        <w:t>四、编制随机抽查事项清单</w:t>
      </w:r>
    </w:p>
    <w:p w14:paraId="49C433A7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（六）依照有关法律、法规、规章和国家标准、行业标准、安全标准及相关地方标准的强制性条文，结合</w:t>
      </w:r>
      <w:r>
        <w:rPr>
          <w:rFonts w:hint="eastAsia" w:ascii="仿宋_GB2312" w:hAnsi="仿宋" w:eastAsia="仿宋_GB2312"/>
          <w:color w:val="000000"/>
          <w:sz w:val="32"/>
          <w:lang w:eastAsia="zh-CN"/>
        </w:rPr>
        <w:t>国家安全生产监督管理总局</w:t>
      </w:r>
      <w:r>
        <w:rPr>
          <w:rFonts w:hint="eastAsia" w:ascii="仿宋_GB2312" w:hAnsi="仿宋" w:eastAsia="仿宋_GB2312"/>
          <w:color w:val="000000"/>
          <w:sz w:val="32"/>
        </w:rPr>
        <w:t>公布的随机抽查事项清单编制对象名录库随机抽查事项清单。</w:t>
      </w:r>
    </w:p>
    <w:p w14:paraId="657718F8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（七）随机抽查事项清单编制要结合我旗</w:t>
      </w:r>
      <w:r>
        <w:rPr>
          <w:rFonts w:hint="eastAsia" w:ascii="仿宋_GB2312" w:hAnsi="仿宋" w:eastAsia="仿宋_GB2312" w:cs="Times New Roman"/>
          <w:color w:val="000000"/>
          <w:sz w:val="32"/>
        </w:rPr>
        <w:t>电力、新能源和可再生能源</w:t>
      </w:r>
      <w:r>
        <w:rPr>
          <w:rFonts w:hint="eastAsia" w:ascii="仿宋_GB2312" w:hAnsi="仿宋" w:eastAsia="仿宋_GB2312"/>
          <w:color w:val="000000"/>
          <w:sz w:val="32"/>
        </w:rPr>
        <w:t>企业</w:t>
      </w:r>
      <w:r>
        <w:rPr>
          <w:rFonts w:hint="eastAsia" w:ascii="仿宋_GB2312" w:hAnsi="仿宋" w:eastAsia="仿宋_GB2312" w:cs="Times New Roman"/>
          <w:color w:val="000000"/>
          <w:sz w:val="32"/>
        </w:rPr>
        <w:t>、</w:t>
      </w:r>
      <w:r>
        <w:rPr>
          <w:rFonts w:hint="eastAsia" w:ascii="仿宋_GB2312" w:hAnsi="仿宋" w:eastAsia="仿宋_GB2312" w:cs="Times New Roman"/>
          <w:color w:val="000000"/>
          <w:sz w:val="32"/>
          <w:lang w:eastAsia="zh-CN"/>
        </w:rPr>
        <w:t>油气</w:t>
      </w:r>
      <w:r>
        <w:rPr>
          <w:rFonts w:hint="eastAsia" w:ascii="仿宋_GB2312" w:hAnsi="仿宋" w:eastAsia="仿宋_GB2312" w:cs="Times New Roman"/>
          <w:color w:val="000000"/>
          <w:sz w:val="32"/>
          <w:lang w:val="en-US" w:eastAsia="zh-CN"/>
        </w:rPr>
        <w:t>长输</w:t>
      </w:r>
      <w:r>
        <w:rPr>
          <w:rFonts w:hint="eastAsia" w:ascii="仿宋_GB2312" w:hAnsi="仿宋" w:eastAsia="仿宋_GB2312" w:cs="Times New Roman"/>
          <w:color w:val="000000"/>
          <w:sz w:val="32"/>
        </w:rPr>
        <w:t>管道企业</w:t>
      </w:r>
      <w:r>
        <w:rPr>
          <w:rFonts w:hint="eastAsia" w:ascii="仿宋_GB2312" w:hAnsi="仿宋" w:eastAsia="仿宋_GB2312"/>
          <w:color w:val="000000"/>
          <w:sz w:val="32"/>
        </w:rPr>
        <w:t>的灾害情况、风险等级、安全状况及以往事故特点规律，突出关键环节和主要矛盾，不求多求全、不重复罗列，并逐项明确执法的主体和处罚的依据。</w:t>
      </w:r>
    </w:p>
    <w:p w14:paraId="6E31848F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（八）随机抽查事项清单中涉及有关法律法规、技术标准发生变化的，要及时更新。具体实施随机抽查时，除有特殊要求外，均应当按照随机事项抽查清单制作执法检查方案和检查表。</w:t>
      </w:r>
    </w:p>
    <w:p w14:paraId="622EBCAD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（九）结合年度工作重点和监管执法发现的突出问题，适时更新随机抽查事项清单。</w:t>
      </w:r>
    </w:p>
    <w:p w14:paraId="1F4CEF4F">
      <w:pPr>
        <w:autoSpaceDN w:val="0"/>
        <w:spacing w:line="560" w:lineRule="exact"/>
        <w:contextualSpacing/>
        <w:rPr>
          <w:rFonts w:hint="eastAsia" w:ascii="黑体" w:hAnsi="黑体" w:eastAsia="黑体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</w:t>
      </w:r>
      <w:r>
        <w:rPr>
          <w:rFonts w:hint="eastAsia" w:ascii="黑体" w:hAnsi="黑体" w:eastAsia="黑体"/>
          <w:color w:val="000000"/>
          <w:sz w:val="32"/>
        </w:rPr>
        <w:t>五、随机抽查工作的开展</w:t>
      </w:r>
    </w:p>
    <w:p w14:paraId="1DA0BB31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（十）“双随机”抽查工作要结合抽查对象的随机抽查事项清单进行，实现可查（询）、可（记）录、可汇（总）、可追(溯)。</w:t>
      </w:r>
    </w:p>
    <w:p w14:paraId="42087D70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（十一）随机确定抽查对象。根据执法计划中的监管性质、监管企业数量，在对象名录库中随机抽取抽查对象。</w:t>
      </w:r>
    </w:p>
    <w:p w14:paraId="51C60588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十二）执法人员的抽取。在落实监管执法人员时，从执法名录库中随机抽取监管执法人员。抽取前，要核实执法名录库中人员情况，休假、有其他公务等原因不能参加执法的人员要排除，随机抽取时要做到所需人员专业合理搭配，满足随机抽查事项清单所规定的任务。</w:t>
      </w:r>
    </w:p>
    <w:p w14:paraId="1AA2ABD3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（十三）乌审旗能源</w:t>
      </w:r>
      <w:r>
        <w:rPr>
          <w:rFonts w:hint="eastAsia" w:ascii="仿宋_GB2312" w:hAnsi="仿宋" w:eastAsia="仿宋_GB2312"/>
          <w:color w:val="000000"/>
          <w:sz w:val="32"/>
          <w:lang w:eastAsia="zh-CN"/>
        </w:rPr>
        <w:t>局</w:t>
      </w:r>
      <w:r>
        <w:rPr>
          <w:rFonts w:hint="eastAsia" w:ascii="仿宋_GB2312" w:hAnsi="仿宋" w:eastAsia="仿宋_GB2312"/>
          <w:color w:val="000000"/>
          <w:sz w:val="32"/>
        </w:rPr>
        <w:t>负责组织实施“双随机</w:t>
      </w:r>
      <w:r>
        <w:rPr>
          <w:rFonts w:hint="eastAsia" w:ascii="仿宋_GB2312" w:hAnsi="仿宋" w:eastAsia="仿宋_GB2312"/>
          <w:color w:val="000000"/>
          <w:sz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32"/>
        </w:rPr>
        <w:t>一公开”工作。</w:t>
      </w:r>
    </w:p>
    <w:p w14:paraId="24123E59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（十四）“双随机”抽查工作要列入执法计划编制，采用“双随机”全覆盖。</w:t>
      </w:r>
    </w:p>
    <w:p w14:paraId="4DA28E92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（十五）随机抽查应坚持问题导向，对抽中的企业要进行分析，根据其灾害情况及安全状况，确定或选取抽查事项清单，并制作有针对性和可操作性的检查方案。</w:t>
      </w:r>
    </w:p>
    <w:p w14:paraId="4F81EE4D">
      <w:pPr>
        <w:autoSpaceDN w:val="0"/>
        <w:spacing w:line="560" w:lineRule="exact"/>
        <w:contextualSpacing/>
        <w:rPr>
          <w:rFonts w:hint="eastAsia"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（十六）要积极配合有关部门开展联合随机抽查，形成安全执法合力，提高执法效能。</w:t>
      </w:r>
    </w:p>
    <w:p w14:paraId="601A0C86">
      <w:pPr>
        <w:autoSpaceDN w:val="0"/>
        <w:spacing w:line="560" w:lineRule="exact"/>
        <w:ind w:firstLine="640"/>
        <w:contextualSpacing/>
        <w:rPr>
          <w:rFonts w:hint="eastAsia"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（十七）本办法自202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32"/>
        </w:rPr>
        <w:t>年1月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</w:rPr>
        <w:t>日起实施。</w:t>
      </w:r>
    </w:p>
    <w:p w14:paraId="5E5B6B1B">
      <w:pPr>
        <w:spacing w:line="560" w:lineRule="exact"/>
        <w:rPr>
          <w:rFonts w:hint="eastAsia" w:ascii="仿宋_GB2312" w:hAnsi="仿宋_GB2312" w:eastAsia="仿宋_GB2312"/>
          <w:color w:val="000000"/>
          <w:sz w:val="32"/>
        </w:rPr>
      </w:pPr>
    </w:p>
    <w:p w14:paraId="02CE75DC"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附件：1.202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 w:cs="Times New Roman"/>
          <w:color w:val="000000"/>
          <w:sz w:val="32"/>
        </w:rPr>
        <w:t>电力企业、新能源和可再生能源企业随机</w:t>
      </w:r>
    </w:p>
    <w:p w14:paraId="37DF5217">
      <w:pPr>
        <w:spacing w:line="560" w:lineRule="exact"/>
        <w:ind w:firstLine="1600"/>
        <w:rPr>
          <w:rFonts w:hint="eastAsia" w:ascii="仿宋_GB2312" w:hAnsi="仿宋_GB2312" w:eastAsia="仿宋_GB2312" w:cs="Times New Roman"/>
          <w:color w:val="000000"/>
          <w:sz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</w:rPr>
        <w:t>抽查事项清单</w:t>
      </w:r>
    </w:p>
    <w:p w14:paraId="63B55CBF">
      <w:pPr>
        <w:spacing w:line="560" w:lineRule="exact"/>
        <w:ind w:left="1596" w:leftChars="760" w:firstLine="0" w:firstLineChars="0"/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2"/>
        </w:rPr>
        <w:t>.202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</w:rPr>
        <w:t>年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油气</w:t>
      </w:r>
      <w:r>
        <w:rPr>
          <w:rFonts w:hint="eastAsia" w:ascii="仿宋_GB2312" w:hAnsi="仿宋" w:eastAsia="仿宋_GB2312" w:cs="Times New Roman"/>
          <w:color w:val="000000"/>
          <w:sz w:val="32"/>
          <w:lang w:val="en-US" w:eastAsia="zh-CN"/>
        </w:rPr>
        <w:t>长输</w:t>
      </w:r>
      <w:r>
        <w:rPr>
          <w:rFonts w:hint="eastAsia" w:ascii="仿宋_GB2312" w:hAnsi="仿宋_GB2312" w:eastAsia="仿宋_GB2312" w:cs="Times New Roman"/>
          <w:color w:val="000000"/>
          <w:sz w:val="32"/>
        </w:rPr>
        <w:t>管道企业随机抽查事</w:t>
      </w:r>
      <w:r>
        <w:rPr>
          <w:rFonts w:hint="eastAsia" w:ascii="仿宋_GB2312" w:hAnsi="仿宋_GB2312" w:eastAsia="仿宋_GB2312"/>
          <w:color w:val="000000"/>
          <w:sz w:val="32"/>
        </w:rPr>
        <w:t>项清单</w:t>
      </w:r>
    </w:p>
    <w:p w14:paraId="2C2EF1D9"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24"/>
          <w:lang w:val="en-US" w:eastAsia="zh-CN" w:bidi="ar-SA"/>
        </w:rPr>
        <w:t xml:space="preserve">   3.2025年度“双随机、一公开”抽查工作计划</w:t>
      </w:r>
    </w:p>
    <w:p w14:paraId="48F12EC4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laybill">
    <w:panose1 w:val="040506030A0602020202"/>
    <w:charset w:val="00"/>
    <w:family w:val="decorative"/>
    <w:pitch w:val="default"/>
    <w:sig w:usb0="00000003" w:usb1="00000000" w:usb2="00000000" w:usb3="00000000" w:csb0="20000001" w:csb1="00000000"/>
  </w:font>
  <w:font w:name="方正小标宋_GBK">
    <w:altName w:val="微软雅黑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6A3CA">
    <w:pPr>
      <w:tabs>
        <w:tab w:val="right" w:pos="8845"/>
      </w:tabs>
      <w:snapToGrid w:val="0"/>
      <w:spacing w:line="440" w:lineRule="exact"/>
      <w:rPr>
        <w:rFonts w:hint="eastAsia" w:ascii="宋体" w:hAnsi="宋体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C41F4D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C41F4D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9E93EC">
                          <w:pPr>
                            <w:pStyle w:val="7"/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9E93EC">
                    <w:pPr>
                      <w:pStyle w:val="7"/>
                      <w:rPr>
                        <w:sz w:val="24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18"/>
        <w:lang w:eastAsia="zh-CN"/>
      </w:rPr>
      <w:tab/>
    </w:r>
  </w:p>
  <w:p w14:paraId="163A311F">
    <w:pPr>
      <w:spacing w:line="193" w:lineRule="exact"/>
      <w:rPr>
        <w:rFonts w:ascii="仿宋" w:hAnsi="仿宋" w:eastAsia="仿宋" w:cs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563B5"/>
    <w:rsid w:val="00395C9B"/>
    <w:rsid w:val="01124CEA"/>
    <w:rsid w:val="0C3C0FB3"/>
    <w:rsid w:val="0DF67F99"/>
    <w:rsid w:val="0E440CFD"/>
    <w:rsid w:val="0F4D193D"/>
    <w:rsid w:val="125E2CA1"/>
    <w:rsid w:val="2AAD120E"/>
    <w:rsid w:val="2BC32CEC"/>
    <w:rsid w:val="2CAD30F9"/>
    <w:rsid w:val="2D772A48"/>
    <w:rsid w:val="402D7572"/>
    <w:rsid w:val="480B5A13"/>
    <w:rsid w:val="4C954082"/>
    <w:rsid w:val="56FF1F95"/>
    <w:rsid w:val="577B4035"/>
    <w:rsid w:val="5B7A6F8C"/>
    <w:rsid w:val="634F0D4B"/>
    <w:rsid w:val="63610329"/>
    <w:rsid w:val="63BA261B"/>
    <w:rsid w:val="684716F7"/>
    <w:rsid w:val="6894168D"/>
    <w:rsid w:val="68E563B5"/>
    <w:rsid w:val="6B8A53B5"/>
    <w:rsid w:val="6BB8497C"/>
    <w:rsid w:val="6DA70E81"/>
    <w:rsid w:val="712B1529"/>
    <w:rsid w:val="728A7952"/>
    <w:rsid w:val="759A48F0"/>
    <w:rsid w:val="7984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1"/>
    <w:basedOn w:val="1"/>
    <w:next w:val="3"/>
    <w:qFormat/>
    <w:uiPriority w:val="0"/>
    <w:pPr>
      <w:spacing w:after="120" w:afterLines="0"/>
      <w:ind w:left="420"/>
    </w:pPr>
    <w:rPr>
      <w:rFonts w:ascii="Times New Roman" w:eastAsia="宋体"/>
    </w:rPr>
  </w:style>
  <w:style w:type="paragraph" w:styleId="3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567"/>
    </w:pPr>
  </w:style>
  <w:style w:type="paragraph" w:styleId="5">
    <w:name w:val="Body Text"/>
    <w:basedOn w:val="1"/>
    <w:qFormat/>
    <w:uiPriority w:val="0"/>
    <w:pPr>
      <w:widowControl/>
      <w:spacing w:line="360" w:lineRule="auto"/>
      <w:ind w:firstLine="480" w:firstLineChars="200"/>
      <w:jc w:val="left"/>
    </w:pPr>
    <w:rPr>
      <w:rFonts w:ascii="宋体" w:hAnsi="宋体"/>
      <w:kern w:val="0"/>
      <w:sz w:val="24"/>
      <w:szCs w:val="20"/>
    </w:rPr>
  </w:style>
  <w:style w:type="paragraph" w:styleId="6">
    <w:name w:val="Body Text Indent"/>
    <w:basedOn w:val="1"/>
    <w:next w:val="1"/>
    <w:qFormat/>
    <w:uiPriority w:val="0"/>
    <w:pPr>
      <w:tabs>
        <w:tab w:val="left" w:pos="6930"/>
        <w:tab w:val="left" w:pos="7139"/>
        <w:tab w:val="left" w:pos="7350"/>
      </w:tabs>
      <w:spacing w:line="520" w:lineRule="atLeast"/>
      <w:ind w:firstLine="555"/>
    </w:pPr>
    <w:rPr>
      <w:rFonts w:ascii="仿宋_GB2312"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paragraph" w:styleId="11">
    <w:name w:val="Body Text First Indent 2"/>
    <w:basedOn w:val="6"/>
    <w:next w:val="10"/>
    <w:qFormat/>
    <w:uiPriority w:val="0"/>
    <w:pPr>
      <w:ind w:firstLine="420"/>
    </w:pPr>
  </w:style>
  <w:style w:type="paragraph" w:customStyle="1" w:styleId="14">
    <w:name w:val="正文1"/>
    <w:basedOn w:val="1"/>
    <w:next w:val="1"/>
    <w:qFormat/>
    <w:uiPriority w:val="0"/>
    <w:pPr>
      <w:autoSpaceDE w:val="0"/>
      <w:autoSpaceDN w:val="0"/>
      <w:adjustRightInd w:val="0"/>
      <w:spacing w:line="460" w:lineRule="atLeast"/>
      <w:ind w:firstLine="624"/>
      <w:jc w:val="left"/>
      <w:textAlignment w:val="center"/>
    </w:pPr>
    <w:rPr>
      <w:rFonts w:hAnsi="Playbill"/>
      <w:color w:val="0000FF"/>
      <w:spacing w:val="16"/>
      <w:kern w:val="16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1462</Words>
  <Characters>1505</Characters>
  <Lines>0</Lines>
  <Paragraphs>0</Paragraphs>
  <TotalTime>6</TotalTime>
  <ScaleCrop>false</ScaleCrop>
  <LinksUpToDate>false</LinksUpToDate>
  <CharactersWithSpaces>1652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2024-12-06T06:51:00Z</dcterms:created>
  <dc:creator>admin</dc:creator>
  <cp:lastModifiedBy>绿茶咖啡</cp:lastModifiedBy>
  <cp:lastPrinted>2025-02-10T01:25:00Z</cp:lastPrinted>
  <dcterms:modified xsi:type="dcterms:W3CDTF">2025-03-05T01:27:31Z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4B169F444412427782FE65E8A66183EB_13</vt:lpwstr>
  </property>
  <property fmtid="{D5CDD505-2E9C-101B-9397-08002B2CF9AE}" pid="4" name="KSOTemplateDocerSaveRecord">
    <vt:lpwstr>eyJoZGlkIjoiNDI5OWYwY2VkZDlmOWIzNGFkMDNmMzUyMzBiYWIyNTQiLCJ1c2VySWQiOiIzMDQ2NjczODEifQ==</vt:lpwstr>
  </property>
</Properties>
</file>