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F1" w:rsidRPr="00DF4091" w:rsidRDefault="00C358F1" w:rsidP="00C358F1">
      <w:pPr>
        <w:spacing w:line="58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DF4091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C358F1" w:rsidRPr="00DF4091" w:rsidRDefault="00C358F1" w:rsidP="00C358F1">
      <w:pPr>
        <w:spacing w:line="580" w:lineRule="exact"/>
        <w:jc w:val="center"/>
        <w:rPr>
          <w:rFonts w:ascii="方正小标宋_GBK" w:eastAsia="方正小标宋_GBK" w:hAnsi="新宋体" w:hint="eastAsia"/>
          <w:color w:val="000000"/>
          <w:sz w:val="44"/>
          <w:szCs w:val="44"/>
        </w:rPr>
      </w:pPr>
      <w:bookmarkStart w:id="0" w:name="_GoBack"/>
      <w:r w:rsidRPr="00DF4091">
        <w:rPr>
          <w:rFonts w:ascii="方正小标宋_GBK" w:eastAsia="方正小标宋_GBK" w:hAnsi="新宋体" w:hint="eastAsia"/>
          <w:color w:val="000000"/>
          <w:sz w:val="44"/>
          <w:szCs w:val="44"/>
        </w:rPr>
        <w:t>乌审旗地上附着物补偿标准一览表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1"/>
        <w:gridCol w:w="1260"/>
        <w:gridCol w:w="970"/>
        <w:gridCol w:w="1414"/>
        <w:gridCol w:w="5076"/>
      </w:tblGrid>
      <w:tr w:rsidR="00C358F1" w:rsidRPr="00DF4091" w:rsidTr="00547A60">
        <w:trPr>
          <w:trHeight w:hRule="exact" w:val="563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F4091">
              <w:rPr>
                <w:rFonts w:ascii="仿宋_GB2312" w:eastAsia="仿宋_GB2312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补偿标准</w:t>
            </w:r>
          </w:p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（元/单位）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</w:tr>
      <w:tr w:rsidR="00C358F1" w:rsidRPr="00DF4091" w:rsidTr="00547A60">
        <w:trPr>
          <w:trHeight w:val="48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DF4091">
              <w:rPr>
                <w:rFonts w:ascii="仿宋_GB2312" w:eastAsia="仿宋_GB2312" w:hint="eastAsia"/>
                <w:color w:val="000000"/>
                <w:sz w:val="24"/>
              </w:rPr>
              <w:t>井类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机井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150</w:t>
            </w:r>
          </w:p>
        </w:tc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DF4091">
              <w:rPr>
                <w:rFonts w:ascii="仿宋_GB2312" w:eastAsia="仿宋_GB2312" w:hint="eastAsia"/>
                <w:color w:val="000000"/>
                <w:sz w:val="24"/>
              </w:rPr>
              <w:t>井类补偿</w:t>
            </w:r>
            <w:proofErr w:type="gramEnd"/>
            <w:r w:rsidRPr="00DF4091">
              <w:rPr>
                <w:rFonts w:ascii="仿宋_GB2312" w:eastAsia="仿宋_GB2312" w:hint="eastAsia"/>
                <w:color w:val="000000"/>
                <w:sz w:val="24"/>
              </w:rPr>
              <w:t>根据所用管材（如水泥、钢质），类型（多管、单管）面积（大口井）、深度及其实际价值和使用价值进行价格核定。</w:t>
            </w: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大口井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1000-3000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旱井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700-1000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民用井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350-500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val="48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猪圈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土木结构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DF4091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300-500</w:t>
            </w:r>
          </w:p>
        </w:tc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该类地上附着物补偿依据占地面积、高度等因素按照实际使用价值进行价格核算。</w:t>
            </w: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砖木结构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DF4091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400-600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厕所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土木结构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DF4091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500-1000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砖木结构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DF4091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3000-4000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val="48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院墙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土木结构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80-100</w:t>
            </w:r>
          </w:p>
        </w:tc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墙体厚度、高度。</w:t>
            </w: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砖混结构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100-120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val="48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圈棚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土木结构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平方米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120-150</w:t>
            </w:r>
          </w:p>
        </w:tc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根据建筑面积、占地面积核算。</w:t>
            </w: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砖混结构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平方米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200-250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val="482"/>
          <w:jc w:val="center"/>
        </w:trPr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网围栏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6-12</w:t>
            </w:r>
          </w:p>
        </w:tc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网围栏及固桩材料。</w:t>
            </w:r>
          </w:p>
        </w:tc>
      </w:tr>
      <w:tr w:rsidR="00C358F1" w:rsidRPr="00DF4091" w:rsidTr="00547A60">
        <w:trPr>
          <w:trHeight w:val="470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12-24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val="482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烧砖用窑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座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1000-2000</w:t>
            </w:r>
          </w:p>
        </w:tc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根据建设规模、建筑面积、质量及实际价值核算。</w:t>
            </w: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草房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DF4091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500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鸡窝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DF4091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300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露天灶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DF4091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500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val="482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单人坟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DF4091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15000</w:t>
            </w:r>
          </w:p>
        </w:tc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hRule="exact" w:val="482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双人坟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20000</w:t>
            </w: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F1" w:rsidRPr="00DF4091" w:rsidTr="00547A60">
        <w:trPr>
          <w:trHeight w:hRule="exact" w:val="861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>其它附着物及附属设施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1" w:rsidRPr="00DF4091" w:rsidRDefault="00C358F1" w:rsidP="00547A60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DF4091">
              <w:rPr>
                <w:rFonts w:ascii="仿宋_GB2312" w:eastAsia="仿宋_GB2312" w:hint="eastAsia"/>
                <w:color w:val="000000"/>
                <w:sz w:val="24"/>
              </w:rPr>
              <w:t xml:space="preserve">经有资质的评估机构评估后按照实际价值进行补偿。 </w:t>
            </w:r>
          </w:p>
        </w:tc>
      </w:tr>
    </w:tbl>
    <w:p w:rsidR="00A72F49" w:rsidRPr="00C358F1" w:rsidRDefault="00A72F49"/>
    <w:sectPr w:rsidR="00A72F49" w:rsidRPr="00C3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F1"/>
    <w:rsid w:val="00A72F49"/>
    <w:rsid w:val="00C3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5C5F9-F3A1-4E5A-837E-4B782923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2021-04-08T03:14:00Z</dcterms:created>
  <dcterms:modified xsi:type="dcterms:W3CDTF">2021-04-08T03:14:00Z</dcterms:modified>
</cp:coreProperties>
</file>