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  <w:t>内蒙古自治区乌审旗烟草专卖局关于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  <w:t>《内蒙古自治区乌审旗烟草专卖局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  <w:t>烟草制品零售点合理布局规划》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0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vertAlign w:val="baseline"/>
        </w:rPr>
        <w:t>中部分条款补充解释的函</w:t>
      </w:r>
    </w:p>
    <w:p>
      <w:pPr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7"/>
          <w:szCs w:val="27"/>
          <w:bdr w:val="none" w:color="auto" w:sz="0" w:space="0"/>
          <w:vertAlign w:val="baseline"/>
        </w:rPr>
        <w:t>　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为全面落实《中华人民共和国行政许可法》《中华人民共和国未成年人保护法》《中华人民共和国烟草专卖法》《中华人民共和国烟草专卖法实施条例》《烟草专卖许可证管理办法》等法律、法规和国家“放管服"改算要求，准确、规范实施《内蒙古自治区乌审旗烟草专卖局烟草制品零售点合理布局规划》 (以下简称《规划》现就《规划》中部分条款补充解释如下：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　　本《规划》第八条第一款第一项之“为了保障未成年人的身心健康和公共安全，有下列情形之一的，不予设置零售点：（一）学校、幼儿园周围100米以内。学校是指普通中小学、特殊教育学校、中等职业学校、专门学校。学校、幼儿园周围是指自学校、幼儿园正门正常出入通道口向外延伸一定距离的区域。”是指中小学、幼儿园内部以及进出通道口向外延伸100米以内的经营场所不予设置烟草制品零售点，切实保障和维护未成年人身体健康和合法权益。《规划》和本补充解释的解释权属内蒙古自治区乌审旗烟草专卖局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　　特此函告。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　　内蒙古自治区乌审旗烟草专卖局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right"/>
        <w:textAlignment w:val="baseline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</w:rPr>
        <w:t>　　2021年11月17日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vertAlign w:val="baseline"/>
          <w:lang w:val="en-US" w:eastAsia="zh-CN"/>
        </w:rPr>
        <w:t xml:space="preserve">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0NTgyMzVmYzE5ZTYwZDgzMDZhNmNkZGFkMGE1YTAifQ=="/>
  </w:docVars>
  <w:rsids>
    <w:rsidRoot w:val="00000000"/>
    <w:rsid w:val="59DF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2023-09-07T01:51:05Z</dcterms:created>
  <dc:creator>lenovo</dc:creator>
  <cp:lastModifiedBy>绿茶咖啡</cp:lastModifiedBy>
  <dcterms:modified xsi:type="dcterms:W3CDTF">2023-09-07T01:54:07Z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30FA05C9F53945C4845859FD3F84B5AE_12</vt:lpwstr>
  </property>
</Properties>
</file>