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both"/>
        <w:textAlignment w:val="auto"/>
        <w:outlineLvl w:val="9"/>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rPr>
      </w:pPr>
      <w:r>
        <w:rPr>
          <w:rFonts w:hint="eastAsia" w:ascii="仿宋" w:hAnsi="仿宋" w:eastAsia="仿宋" w:cs="仿宋"/>
          <w:sz w:val="32"/>
        </w:rPr>
        <w:t>乌发改发〔202</w:t>
      </w:r>
      <w:r>
        <w:rPr>
          <w:rFonts w:hint="eastAsia" w:ascii="仿宋" w:hAnsi="仿宋" w:eastAsia="仿宋" w:cs="仿宋"/>
          <w:sz w:val="32"/>
          <w:lang w:val="en-US" w:eastAsia="zh-CN"/>
        </w:rPr>
        <w:t>2</w:t>
      </w:r>
      <w:r>
        <w:rPr>
          <w:rFonts w:hint="eastAsia" w:ascii="仿宋" w:hAnsi="仿宋" w:eastAsia="仿宋" w:cs="仿宋"/>
          <w:sz w:val="32"/>
        </w:rPr>
        <w:t>〕</w:t>
      </w:r>
      <w:r>
        <w:rPr>
          <w:rFonts w:hint="eastAsia" w:ascii="仿宋" w:hAnsi="仿宋" w:eastAsia="仿宋" w:cs="仿宋"/>
          <w:sz w:val="32"/>
          <w:lang w:val="en-US" w:eastAsia="zh-CN"/>
        </w:rPr>
        <w:t>113</w:t>
      </w:r>
      <w:r>
        <w:rPr>
          <w:rFonts w:hint="eastAsia" w:ascii="仿宋" w:hAnsi="仿宋" w:eastAsia="仿宋" w:cs="仿宋"/>
          <w:sz w:val="32"/>
        </w:rPr>
        <w:t>号</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0" w:firstLineChars="0"/>
        <w:textAlignment w:val="auto"/>
        <w:outlineLvl w:val="9"/>
        <w:rPr>
          <w:rFonts w:hint="eastAsia"/>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0" w:firstLine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方正小标宋_GBK" w:hAnsi="方正小标宋_GBK" w:eastAsia="方正小标宋_GBK" w:cs="方正小标宋_GBK"/>
          <w:bCs/>
          <w:w w:val="100"/>
          <w:sz w:val="44"/>
          <w:szCs w:val="44"/>
          <w:lang w:eastAsia="zh-CN"/>
        </w:rPr>
      </w:pPr>
      <w:r>
        <w:rPr>
          <w:rFonts w:hint="eastAsia" w:ascii="方正小标宋_GBK" w:hAnsi="方正小标宋_GBK" w:eastAsia="方正小标宋_GBK" w:cs="方正小标宋_GBK"/>
          <w:bCs/>
          <w:w w:val="100"/>
          <w:sz w:val="44"/>
          <w:szCs w:val="44"/>
        </w:rPr>
        <w:t>乌审旗发展和改革委员会关于</w:t>
      </w:r>
      <w:r>
        <w:rPr>
          <w:rFonts w:hint="eastAsia" w:ascii="方正小标宋_GBK" w:hAnsi="方正小标宋_GBK" w:eastAsia="方正小标宋_GBK" w:cs="方正小标宋_GBK"/>
          <w:bCs/>
          <w:w w:val="100"/>
          <w:sz w:val="44"/>
          <w:szCs w:val="44"/>
          <w:lang w:eastAsia="zh-CN"/>
        </w:rPr>
        <w:t>苏里格经济</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方正小标宋_GBK" w:hAnsi="方正小标宋_GBK" w:eastAsia="方正小标宋_GBK" w:cs="方正小标宋_GBK"/>
          <w:bCs/>
          <w:w w:val="100"/>
          <w:sz w:val="44"/>
          <w:szCs w:val="44"/>
        </w:rPr>
      </w:pPr>
      <w:r>
        <w:rPr>
          <w:rFonts w:hint="eastAsia" w:ascii="方正小标宋_GBK" w:hAnsi="方正小标宋_GBK" w:eastAsia="方正小标宋_GBK" w:cs="方正小标宋_GBK"/>
          <w:bCs/>
          <w:w w:val="100"/>
          <w:sz w:val="44"/>
          <w:szCs w:val="44"/>
          <w:lang w:eastAsia="zh-CN"/>
        </w:rPr>
        <w:t>开发区智慧园区一体化平台及服务</w:t>
      </w:r>
      <w:r>
        <w:rPr>
          <w:rFonts w:hint="eastAsia" w:ascii="方正小标宋_GBK" w:hAnsi="方正小标宋_GBK" w:eastAsia="方正小标宋_GBK" w:cs="方正小标宋_GBK"/>
          <w:bCs/>
          <w:w w:val="100"/>
          <w:sz w:val="44"/>
          <w:szCs w:val="44"/>
        </w:rPr>
        <w:t>项目</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方正小标宋_GBK" w:hAnsi="方正小标宋_GBK" w:eastAsia="方正小标宋_GBK" w:cs="方正小标宋_GBK"/>
          <w:bCs/>
          <w:w w:val="100"/>
          <w:sz w:val="44"/>
          <w:szCs w:val="44"/>
        </w:rPr>
      </w:pPr>
      <w:r>
        <w:rPr>
          <w:rFonts w:hint="eastAsia" w:ascii="方正小标宋_GBK" w:hAnsi="方正小标宋_GBK" w:eastAsia="方正小标宋_GBK" w:cs="方正小标宋_GBK"/>
          <w:bCs/>
          <w:w w:val="100"/>
          <w:sz w:val="44"/>
          <w:szCs w:val="44"/>
          <w:lang w:eastAsia="zh-CN"/>
        </w:rPr>
        <w:t>初步设计</w:t>
      </w:r>
      <w:r>
        <w:rPr>
          <w:rFonts w:hint="eastAsia" w:ascii="方正小标宋_GBK" w:hAnsi="方正小标宋_GBK" w:eastAsia="方正小标宋_GBK" w:cs="方正小标宋_GBK"/>
          <w:bCs/>
          <w:w w:val="100"/>
          <w:sz w:val="44"/>
          <w:szCs w:val="44"/>
        </w:rPr>
        <w:t>的批复</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方正小标宋_GBK" w:hAnsi="方正小标宋_GBK" w:eastAsia="方正小标宋_GBK" w:cs="方正小标宋_GBK"/>
          <w:bCs/>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苏里格经济开发区应急管理办公室</w:t>
      </w:r>
      <w:r>
        <w:rPr>
          <w:rFonts w:hint="eastAsia" w:ascii="仿宋" w:hAnsi="仿宋" w:eastAsia="仿宋" w:cs="仿宋"/>
          <w:sz w:val="32"/>
          <w:szCs w:val="32"/>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你单位《</w:t>
      </w:r>
      <w:r>
        <w:rPr>
          <w:rFonts w:hint="eastAsia" w:ascii="仿宋" w:hAnsi="仿宋" w:eastAsia="仿宋" w:cs="仿宋"/>
          <w:sz w:val="32"/>
          <w:szCs w:val="32"/>
          <w:lang w:eastAsia="zh-CN"/>
        </w:rPr>
        <w:t>关于报送苏里格经济开发区智慧园区一体化平台及服务项目初步设计</w:t>
      </w:r>
      <w:r>
        <w:rPr>
          <w:rFonts w:hint="eastAsia" w:ascii="仿宋" w:hAnsi="仿宋" w:eastAsia="仿宋" w:cs="仿宋"/>
          <w:sz w:val="32"/>
          <w:szCs w:val="32"/>
        </w:rPr>
        <w:t>的函》(</w:t>
      </w:r>
      <w:r>
        <w:rPr>
          <w:rFonts w:hint="eastAsia" w:ascii="仿宋" w:hAnsi="仿宋" w:eastAsia="仿宋" w:cs="仿宋"/>
          <w:sz w:val="32"/>
          <w:szCs w:val="32"/>
          <w:lang w:eastAsia="zh-CN"/>
        </w:rPr>
        <w:t>内苏应管办</w:t>
      </w:r>
      <w:r>
        <w:rPr>
          <w:rFonts w:hint="eastAsia" w:ascii="仿宋" w:hAnsi="仿宋" w:eastAsia="仿宋" w:cs="仿宋"/>
          <w:sz w:val="32"/>
          <w:szCs w:val="32"/>
        </w:rPr>
        <w:t>函〔202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9</w:t>
      </w:r>
      <w:r>
        <w:rPr>
          <w:rFonts w:hint="eastAsia" w:ascii="仿宋" w:hAnsi="仿宋" w:eastAsia="仿宋" w:cs="仿宋"/>
          <w:sz w:val="32"/>
          <w:szCs w:val="32"/>
        </w:rPr>
        <w:t>号）收悉，</w:t>
      </w:r>
      <w:r>
        <w:rPr>
          <w:rFonts w:hint="eastAsia" w:ascii="仿宋" w:hAnsi="仿宋" w:eastAsia="仿宋" w:cs="仿宋"/>
          <w:sz w:val="32"/>
          <w:szCs w:val="32"/>
          <w:lang w:eastAsia="zh-CN"/>
        </w:rPr>
        <w:t>我委以乌发改发〔</w:t>
      </w:r>
      <w:r>
        <w:rPr>
          <w:rFonts w:hint="eastAsia" w:ascii="仿宋" w:hAnsi="仿宋" w:eastAsia="仿宋" w:cs="仿宋"/>
          <w:sz w:val="32"/>
          <w:szCs w:val="32"/>
          <w:lang w:val="en-US" w:eastAsia="zh-CN"/>
        </w:rPr>
        <w:t>2022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105</w:t>
      </w:r>
      <w:r>
        <w:rPr>
          <w:rFonts w:hint="eastAsia" w:ascii="仿宋" w:hAnsi="仿宋" w:eastAsia="仿宋" w:cs="仿宋"/>
          <w:sz w:val="32"/>
          <w:szCs w:val="32"/>
          <w:lang w:eastAsia="zh-CN"/>
        </w:rPr>
        <w:t>号文件批复了该项目可行性研究报告。我委委托自治区项目评审专家开展了评审，经研究，</w:t>
      </w:r>
      <w:r>
        <w:rPr>
          <w:rFonts w:hint="eastAsia" w:ascii="仿宋" w:hAnsi="仿宋" w:eastAsia="仿宋" w:cs="仿宋"/>
          <w:sz w:val="32"/>
          <w:szCs w:val="32"/>
        </w:rPr>
        <w:t>现批复如下：</w:t>
      </w:r>
    </w:p>
    <w:p>
      <w:pPr>
        <w:keepNext w:val="0"/>
        <w:keepLines w:val="0"/>
        <w:pageBreakBefore w:val="0"/>
        <w:widowControl w:val="0"/>
        <w:kinsoku/>
        <w:wordWrap/>
        <w:overflowPunct/>
        <w:topLinePunct w:val="0"/>
        <w:autoSpaceDE/>
        <w:autoSpaceDN/>
        <w:bidi w:val="0"/>
        <w:spacing w:before="0" w:beforeLines="0" w:after="0" w:afterLines="0" w:line="579"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一、关于设计方案</w:t>
      </w:r>
    </w:p>
    <w:p>
      <w:pPr>
        <w:keepNext w:val="0"/>
        <w:keepLines w:val="0"/>
        <w:pageBreakBefore w:val="0"/>
        <w:widowControl w:val="0"/>
        <w:kinsoku/>
        <w:wordWrap/>
        <w:overflowPunct/>
        <w:topLinePunct w:val="0"/>
        <w:autoSpaceDE/>
        <w:autoSpaceDN/>
        <w:bidi w:val="0"/>
        <w:spacing w:before="0" w:beforeLines="0" w:after="0" w:afterLines="0" w:line="579"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原则同意根据评审专家意见修改调整后的《</w:t>
      </w:r>
      <w:r>
        <w:rPr>
          <w:rFonts w:hint="eastAsia" w:ascii="仿宋" w:hAnsi="仿宋" w:eastAsia="仿宋" w:cs="仿宋"/>
          <w:sz w:val="32"/>
          <w:szCs w:val="32"/>
          <w:lang w:eastAsia="zh-CN"/>
        </w:rPr>
        <w:t>苏里格经济开发区智慧园区一体化平台及服务项目</w:t>
      </w:r>
      <w:r>
        <w:rPr>
          <w:rFonts w:hint="eastAsia" w:ascii="仿宋" w:hAnsi="仿宋" w:eastAsia="仿宋" w:cs="仿宋"/>
          <w:b w:val="0"/>
          <w:bCs w:val="0"/>
          <w:sz w:val="32"/>
          <w:szCs w:val="32"/>
          <w:lang w:val="en-US" w:eastAsia="zh-CN"/>
        </w:rPr>
        <w:t>初步设计</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autoSpaceDN/>
        <w:bidi w:val="0"/>
        <w:spacing w:before="0" w:beforeLines="0" w:after="0" w:afterLines="0" w:line="579"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黑体" w:hAnsi="黑体" w:eastAsia="黑体" w:cs="黑体"/>
          <w:sz w:val="32"/>
          <w:szCs w:val="32"/>
        </w:rPr>
        <w:t>主要建设规模及内容</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6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该项目建设范围覆盖园区内</w:t>
      </w:r>
      <w:r>
        <w:rPr>
          <w:rFonts w:hint="eastAsia" w:ascii="仿宋" w:hAnsi="仿宋" w:eastAsia="仿宋" w:cs="仿宋"/>
          <w:sz w:val="32"/>
          <w:szCs w:val="32"/>
          <w:lang w:val="en-US" w:eastAsia="zh-CN"/>
        </w:rPr>
        <w:t>21</w:t>
      </w:r>
      <w:r>
        <w:rPr>
          <w:rFonts w:hint="eastAsia" w:ascii="仿宋" w:hAnsi="仿宋" w:eastAsia="仿宋" w:cs="仿宋"/>
          <w:sz w:val="32"/>
          <w:szCs w:val="32"/>
          <w:lang w:eastAsia="zh-CN"/>
        </w:rPr>
        <w:t>家企业（包括</w:t>
      </w:r>
      <w:r>
        <w:rPr>
          <w:rFonts w:hint="eastAsia" w:ascii="仿宋" w:hAnsi="仿宋" w:eastAsia="仿宋" w:cs="仿宋"/>
          <w:sz w:val="32"/>
          <w:szCs w:val="32"/>
          <w:lang w:val="en-US" w:eastAsia="zh-CN"/>
        </w:rPr>
        <w:t>17</w:t>
      </w:r>
      <w:r>
        <w:rPr>
          <w:rFonts w:hint="eastAsia" w:ascii="仿宋" w:hAnsi="仿宋" w:eastAsia="仿宋" w:cs="仿宋"/>
          <w:sz w:val="32"/>
          <w:szCs w:val="32"/>
          <w:lang w:eastAsia="zh-CN"/>
        </w:rPr>
        <w:t>家危化企业及其他综合类企业）。主要以经济运行监测、能耗监测、安全应急管理、环保监测、交通物流、人力资源管理和综合服务等七个模块为主，建设鄂尔多斯苏里格经济开发区安全运行监测与应急指挥中心及安装</w:t>
      </w:r>
      <w:r>
        <w:rPr>
          <w:rFonts w:hint="eastAsia" w:ascii="仿宋" w:hAnsi="仿宋" w:eastAsia="仿宋" w:cs="仿宋"/>
          <w:sz w:val="32"/>
          <w:szCs w:val="32"/>
          <w:lang w:val="en-US" w:eastAsia="zh-CN"/>
        </w:rPr>
        <w:t>智慧园区业务应用系统、园区安全在线运行监测网、支撑体系（基础支撑系统、应用支撑系统、数据支撑系统）、平台保障体系（安全保障体系、运维保障体系）等软件工程。</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right="0" w:rightChars="0" w:firstLineChars="200"/>
        <w:textAlignment w:val="auto"/>
        <w:outlineLvl w:val="9"/>
        <w:rPr>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、总概算</w:t>
      </w:r>
      <w:r>
        <w:rPr>
          <w:rFonts w:hint="eastAsia" w:ascii="黑体" w:hAnsi="黑体" w:eastAsia="黑体" w:cs="黑体"/>
          <w:sz w:val="32"/>
          <w:szCs w:val="32"/>
          <w:lang w:eastAsia="zh-CN"/>
        </w:rPr>
        <w:t>及资金来源</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6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该</w:t>
      </w:r>
      <w:r>
        <w:rPr>
          <w:rFonts w:hint="eastAsia" w:ascii="仿宋" w:hAnsi="仿宋" w:eastAsia="仿宋" w:cs="仿宋"/>
          <w:sz w:val="32"/>
          <w:szCs w:val="32"/>
        </w:rPr>
        <w:t>项目</w:t>
      </w:r>
      <w:r>
        <w:rPr>
          <w:rFonts w:hint="eastAsia" w:ascii="仿宋" w:hAnsi="仿宋" w:eastAsia="仿宋" w:cs="仿宋"/>
          <w:sz w:val="32"/>
          <w:szCs w:val="32"/>
          <w:lang w:eastAsia="zh-CN"/>
        </w:rPr>
        <w:t>总概算</w:t>
      </w:r>
      <w:r>
        <w:rPr>
          <w:rFonts w:hint="eastAsia" w:ascii="仿宋" w:hAnsi="仿宋" w:eastAsia="仿宋" w:cs="仿宋"/>
          <w:b w:val="0"/>
          <w:bCs w:val="0"/>
          <w:sz w:val="32"/>
          <w:szCs w:val="32"/>
          <w:lang w:val="en-US" w:eastAsia="zh-CN"/>
        </w:rPr>
        <w:t>为</w:t>
      </w:r>
      <w:r>
        <w:rPr>
          <w:rFonts w:hint="eastAsia" w:ascii="仿宋" w:hAnsi="仿宋" w:eastAsia="仿宋" w:cs="仿宋"/>
          <w:sz w:val="32"/>
          <w:szCs w:val="32"/>
          <w:lang w:val="en-US" w:eastAsia="zh-CN"/>
        </w:rPr>
        <w:t>3067.17</w:t>
      </w:r>
      <w:r>
        <w:rPr>
          <w:rFonts w:hint="eastAsia" w:ascii="仿宋" w:hAnsi="仿宋" w:eastAsia="仿宋" w:cs="仿宋"/>
          <w:sz w:val="32"/>
          <w:szCs w:val="32"/>
        </w:rPr>
        <w:t>万元（详见附表），资金来源为</w:t>
      </w:r>
      <w:r>
        <w:rPr>
          <w:rFonts w:hint="eastAsia" w:ascii="仿宋" w:hAnsi="仿宋" w:eastAsia="仿宋" w:cs="仿宋"/>
          <w:sz w:val="32"/>
          <w:szCs w:val="32"/>
          <w:lang w:eastAsia="zh-CN"/>
        </w:rPr>
        <w:t>申请上级专项资金和地方配套资金</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40"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项目选址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该项目选址位于</w:t>
      </w:r>
      <w:r>
        <w:rPr>
          <w:rFonts w:hint="eastAsia" w:ascii="仿宋" w:hAnsi="仿宋" w:eastAsia="仿宋" w:cs="仿宋"/>
          <w:sz w:val="32"/>
          <w:szCs w:val="32"/>
          <w:lang w:eastAsia="zh-CN"/>
        </w:rPr>
        <w:t>乌审旗图克工业园区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五、建设工期</w:t>
      </w:r>
    </w:p>
    <w:p>
      <w:pPr>
        <w:keepNext w:val="0"/>
        <w:keepLines w:val="0"/>
        <w:pageBreakBefore w:val="0"/>
        <w:widowControl w:val="0"/>
        <w:kinsoku/>
        <w:wordWrap/>
        <w:overflowPunct/>
        <w:topLinePunct w:val="0"/>
        <w:autoSpaceDE/>
        <w:autoSpaceDN/>
        <w:bidi w:val="0"/>
        <w:spacing w:before="0" w:beforeLines="0" w:after="0" w:afterLines="0" w:line="54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（自开工之日起）两年。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六、建设要求</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请据此批复进一步优化工程设计，按照有关法律法规的要求，严格执行基本建设程序，依法进行公开招投标。不得擅自扩大建设规模，更改建设内容。要采取有效措施加强项目管理，落实管理责任，合规使用资金，确保工程质量，按期建成投入使用。</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right="0" w:rightChars="0"/>
        <w:textAlignment w:val="auto"/>
        <w:outlineLvl w:val="9"/>
        <w:rPr>
          <w:rFonts w:hint="eastAsia" w:ascii="仿宋" w:hAnsi="仿宋" w:eastAsia="仿宋" w:cs="仿宋"/>
          <w:w w:val="95"/>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1550" w:leftChars="304" w:right="0" w:rightChars="0" w:hanging="912" w:hangingChars="300"/>
        <w:textAlignment w:val="auto"/>
        <w:outlineLvl w:val="9"/>
        <w:rPr>
          <w:rFonts w:hint="eastAsia" w:ascii="仿宋" w:hAnsi="仿宋" w:eastAsia="仿宋" w:cs="仿宋"/>
          <w:sz w:val="32"/>
          <w:szCs w:val="32"/>
          <w:lang w:eastAsia="zh-CN"/>
        </w:rPr>
      </w:pPr>
      <w:r>
        <w:rPr>
          <w:rFonts w:hint="eastAsia" w:ascii="仿宋" w:hAnsi="仿宋" w:eastAsia="仿宋" w:cs="仿宋"/>
          <w:w w:val="95"/>
          <w:sz w:val="32"/>
          <w:szCs w:val="32"/>
          <w:lang w:eastAsia="zh-CN"/>
        </w:rPr>
        <w:t>附件：</w:t>
      </w:r>
      <w:r>
        <w:rPr>
          <w:rFonts w:hint="eastAsia" w:ascii="仿宋" w:hAnsi="仿宋" w:eastAsia="仿宋" w:cs="仿宋"/>
          <w:sz w:val="32"/>
          <w:szCs w:val="32"/>
          <w:lang w:eastAsia="zh-CN"/>
        </w:rPr>
        <w:t>苏里格经济开发区智慧园区一体化平台及服务项目</w:t>
      </w:r>
      <w:r>
        <w:rPr>
          <w:rFonts w:hint="eastAsia" w:ascii="仿宋" w:hAnsi="仿宋" w:eastAsia="仿宋" w:cs="仿宋"/>
          <w:b w:val="0"/>
          <w:bCs w:val="0"/>
          <w:sz w:val="32"/>
          <w:szCs w:val="32"/>
          <w:lang w:val="en-US" w:eastAsia="zh-CN"/>
        </w:rPr>
        <w:t>初步设计</w:t>
      </w:r>
      <w:r>
        <w:rPr>
          <w:rFonts w:hint="eastAsia" w:ascii="仿宋" w:hAnsi="仿宋" w:eastAsia="仿宋" w:cs="仿宋"/>
          <w:spacing w:val="0"/>
          <w:w w:val="90"/>
          <w:sz w:val="32"/>
          <w:szCs w:val="32"/>
        </w:rPr>
        <w:t>投资概算总表</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right="0" w:rightChars="0" w:firstLine="4480" w:firstLineChars="140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right="0" w:rightChars="0" w:firstLine="4480" w:firstLineChars="140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right="0" w:rightChars="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right="0" w:rightChars="0" w:firstLine="4480" w:firstLineChars="14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乌审旗发展和改革委员会</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2日</w:t>
      </w: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bookmarkStart w:id="0" w:name="_GoBack"/>
      <w:bookmarkEnd w:id="0"/>
    </w:p>
    <w:p>
      <w:pPr>
        <w:keepNext w:val="0"/>
        <w:keepLines w:val="0"/>
        <w:pageBreakBefore w:val="0"/>
        <w:widowControl w:val="0"/>
        <w:tabs>
          <w:tab w:val="left" w:pos="8460"/>
        </w:tabs>
        <w:kinsoku/>
        <w:wordWrap/>
        <w:overflowPunct/>
        <w:topLinePunct w:val="0"/>
        <w:autoSpaceDE/>
        <w:autoSpaceDN/>
        <w:bidi w:val="0"/>
        <w:adjustRightInd/>
        <w:snapToGrid/>
        <w:spacing w:before="0" w:beforeLines="0" w:after="0" w:afterLines="0" w:line="579" w:lineRule="exact"/>
        <w:ind w:right="0" w:rightChars="0" w:firstLine="320" w:firstLineChars="100"/>
        <w:textAlignment w:val="auto"/>
        <w:outlineLvl w:val="9"/>
        <w:rPr>
          <w:rFonts w:hint="eastAsia" w:ascii="黑体" w:hAnsi="黑体" w:eastAsia="黑体" w:cs="黑体"/>
          <w:sz w:val="32"/>
          <w:szCs w:val="32"/>
        </w:rPr>
      </w:pP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71120</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85pt;margin-top:5.6pt;height:0.05pt;width:441pt;z-index:251659264;mso-width-relative:page;mso-height-relative:page;" filled="f" stroked="t" coordsize="21600,21600" o:gfxdata="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hF0OdIAAAAHAQAADwAAAAAAAAABACAAAAAiAAAAZHJzL2Rvd25yZXYueG1sUEsBAhQAFAAA&#10;AAgAh07iQLZrBJv1AQAA5gMAAA4AAAAAAAAAAQAgAAAAIQ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409575</wp:posOffset>
                </wp:positionV>
                <wp:extent cx="56007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pt;margin-top:32.25pt;height:0.05pt;width:441pt;z-index:251660288;mso-width-relative:page;mso-height-relative:page;" filled="f" stroked="t" coordsize="21600,21600" o:gfxdata="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2PPX/XAAAACAEAAA8AAAAAAAAAAQAgAAAAIgAAAGRycy9kb3ducmV2LnhtbFBLAQIU&#10;ABQAAAAIAIdO4kAbdr/a9AEAAOYDAAAOAAAAAAAAAAEAIAAAACYBAABkcnMvZTJvRG9jLnhtbFBL&#10;BQYAAAAABgAGAFkBAACMBQAAAAA=&#10;">
                <v:fill on="f" focussize="0,0"/>
                <v:stroke color="#000000" joinstyle="round"/>
                <v:imagedata o:title=""/>
                <o:lock v:ext="edit" aspectratio="f"/>
              </v:line>
            </w:pict>
          </mc:Fallback>
        </mc:AlternateContent>
      </w:r>
      <w:r>
        <w:rPr>
          <w:rFonts w:hint="eastAsia" w:ascii="仿宋" w:hAnsi="仿宋" w:eastAsia="仿宋" w:cs="仿宋"/>
          <w:sz w:val="32"/>
          <w:szCs w:val="32"/>
        </w:rPr>
        <w:t>乌审旗发展和改革委员会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日印发 </w:t>
      </w:r>
    </w:p>
    <w:p>
      <w:pPr>
        <w:keepNext w:val="0"/>
        <w:keepLines w:val="0"/>
        <w:pageBreakBefore w:val="0"/>
        <w:widowControl w:val="0"/>
        <w:kinsoku/>
        <w:wordWrap/>
        <w:overflowPunct/>
        <w:topLinePunct w:val="0"/>
        <w:autoSpaceDE/>
        <w:autoSpaceDN/>
        <w:bidi w:val="0"/>
        <w:spacing w:before="0" w:beforeLines="0" w:after="0" w:afterLines="0" w:line="579" w:lineRule="exact"/>
        <w:ind w:left="0" w:leftChars="0" w:right="0" w:rightChars="0"/>
        <w:jc w:val="left"/>
        <w:textAlignment w:val="auto"/>
        <w:outlineLvl w:val="9"/>
        <w:rPr>
          <w:rFonts w:hint="eastAsia"/>
        </w:rPr>
      </w:pPr>
      <w:r>
        <w:rPr>
          <w:rFonts w:hint="eastAsia" w:ascii="黑体" w:hAnsi="黑体" w:eastAsia="黑体" w:cs="黑体"/>
          <w:sz w:val="32"/>
          <w:szCs w:val="32"/>
        </w:rPr>
        <w:t>附件：</w:t>
      </w:r>
    </w:p>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苏里格经济开发区智慧园区一体化平台及服务项目</w:t>
      </w:r>
      <w:r>
        <w:rPr>
          <w:rFonts w:hint="eastAsia" w:ascii="方正小标宋_GBK" w:hAnsi="方正小标宋_GBK" w:eastAsia="方正小标宋_GBK" w:cs="方正小标宋_GBK"/>
          <w:b w:val="0"/>
          <w:bCs w:val="0"/>
          <w:sz w:val="44"/>
          <w:szCs w:val="44"/>
          <w:lang w:val="en-US" w:eastAsia="zh-CN"/>
        </w:rPr>
        <w:t>初步设计</w:t>
      </w:r>
      <w:r>
        <w:rPr>
          <w:rFonts w:hint="eastAsia" w:ascii="方正小标宋_GBK" w:hAnsi="方正小标宋_GBK" w:eastAsia="方正小标宋_GBK" w:cs="方正小标宋_GBK"/>
          <w:spacing w:val="0"/>
          <w:w w:val="90"/>
          <w:sz w:val="44"/>
          <w:szCs w:val="44"/>
        </w:rPr>
        <w:t>投资概算总表</w:t>
      </w:r>
    </w:p>
    <w:tbl>
      <w:tblPr>
        <w:tblStyle w:val="7"/>
        <w:tblpPr w:leftFromText="180" w:rightFromText="180" w:vertAnchor="text" w:horzAnchor="page" w:tblpX="1614" w:tblpY="3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603"/>
        <w:gridCol w:w="2126"/>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概算</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编号</w:t>
            </w:r>
          </w:p>
        </w:tc>
        <w:tc>
          <w:tcPr>
            <w:tcW w:w="360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工程项目或费用名称</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概算金额（万元）</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经济技术指标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Ⅰ</w:t>
            </w:r>
          </w:p>
        </w:tc>
        <w:tc>
          <w:tcPr>
            <w:tcW w:w="360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rPr>
              <w:t>工程费</w:t>
            </w:r>
            <w:r>
              <w:rPr>
                <w:rFonts w:hint="eastAsia" w:ascii="仿宋" w:hAnsi="仿宋" w:eastAsia="仿宋" w:cs="仿宋"/>
                <w:b/>
                <w:bCs/>
                <w:sz w:val="32"/>
                <w:szCs w:val="32"/>
                <w:lang w:eastAsia="zh-CN"/>
              </w:rPr>
              <w:t>用</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2676.51</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default" w:ascii="仿宋" w:hAnsi="仿宋" w:eastAsia="仿宋" w:cs="仿宋"/>
                <w:b w:val="0"/>
                <w:bCs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一</w:t>
            </w:r>
          </w:p>
        </w:tc>
        <w:tc>
          <w:tcPr>
            <w:tcW w:w="360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eastAsia="zh-CN"/>
              </w:rPr>
              <w:t>建筑工程费</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207.72</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default" w:ascii="仿宋" w:hAnsi="仿宋" w:eastAsia="仿宋" w:cs="仿宋"/>
                <w:b w:val="0"/>
                <w:bCs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w:t>
            </w:r>
          </w:p>
        </w:tc>
        <w:tc>
          <w:tcPr>
            <w:tcW w:w="360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硬件设备费</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1480.22</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default" w:ascii="仿宋" w:hAnsi="仿宋" w:eastAsia="仿宋" w:cs="仿宋"/>
                <w:b w:val="0"/>
                <w:bCs w:val="0"/>
                <w:color w:val="000000"/>
                <w:kern w:val="0"/>
                <w:sz w:val="32"/>
                <w:szCs w:val="3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三</w:t>
            </w:r>
          </w:p>
        </w:tc>
        <w:tc>
          <w:tcPr>
            <w:tcW w:w="360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软件费</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190</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default" w:ascii="仿宋" w:hAnsi="仿宋" w:eastAsia="仿宋" w:cs="仿宋"/>
                <w:b w:val="0"/>
                <w:bCs w:val="0"/>
                <w:color w:val="000000"/>
                <w:kern w:val="0"/>
                <w:sz w:val="32"/>
                <w:szCs w:val="3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四</w:t>
            </w:r>
          </w:p>
        </w:tc>
        <w:tc>
          <w:tcPr>
            <w:tcW w:w="360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软件定制开发费</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698.36</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default" w:ascii="仿宋" w:hAnsi="仿宋" w:eastAsia="仿宋" w:cs="仿宋"/>
                <w:b w:val="0"/>
                <w:bCs w:val="0"/>
                <w:color w:val="000000"/>
                <w:kern w:val="0"/>
                <w:sz w:val="32"/>
                <w:szCs w:val="3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五</w:t>
            </w:r>
          </w:p>
        </w:tc>
        <w:tc>
          <w:tcPr>
            <w:tcW w:w="360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系统集成费</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100.21</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default" w:ascii="仿宋" w:hAnsi="仿宋" w:eastAsia="仿宋" w:cs="仿宋"/>
                <w:b w:val="0"/>
                <w:bCs w:val="0"/>
                <w:color w:val="000000"/>
                <w:kern w:val="0"/>
                <w:sz w:val="32"/>
                <w:szCs w:val="3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Ⅱ</w:t>
            </w:r>
          </w:p>
        </w:tc>
        <w:tc>
          <w:tcPr>
            <w:tcW w:w="360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工程其它费用</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301.33</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rPr>
              <w:t>Ⅲ</w:t>
            </w:r>
          </w:p>
        </w:tc>
        <w:tc>
          <w:tcPr>
            <w:tcW w:w="360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rPr>
              <w:t>预备费</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default"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89.34</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b/>
                <w:bCs/>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Ⅳ</w:t>
            </w:r>
          </w:p>
        </w:tc>
        <w:tc>
          <w:tcPr>
            <w:tcW w:w="360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rPr>
              <w:t>建设项目总投资</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3067.17</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center"/>
              <w:textAlignment w:val="auto"/>
              <w:outlineLvl w:val="9"/>
              <w:rPr>
                <w:rFonts w:hint="eastAsia" w:ascii="仿宋" w:hAnsi="仿宋" w:eastAsia="仿宋" w:cs="仿宋"/>
                <w:b/>
                <w:bCs/>
                <w:sz w:val="32"/>
                <w:szCs w:val="32"/>
              </w:rPr>
            </w:pPr>
          </w:p>
        </w:tc>
      </w:tr>
    </w:tbl>
    <w:p/>
    <w:p/>
    <w:p>
      <w:pPr>
        <w:keepNext w:val="0"/>
        <w:keepLines w:val="0"/>
        <w:pageBreakBefore w:val="0"/>
        <w:widowControl w:val="0"/>
        <w:kinsoku/>
        <w:wordWrap/>
        <w:overflowPunct/>
        <w:topLinePunct w:val="0"/>
        <w:autoSpaceDE/>
        <w:autoSpaceDN/>
        <w:bidi w:val="0"/>
        <w:adjustRightInd/>
        <w:snapToGrid/>
        <w:spacing w:before="0" w:beforeLines="0" w:after="0" w:afterLines="0" w:line="559" w:lineRule="exact"/>
        <w:ind w:left="0" w:leftChars="0" w:right="0" w:rightChars="0" w:firstLine="640" w:firstLineChars="200"/>
        <w:jc w:val="left"/>
        <w:textAlignment w:val="auto"/>
        <w:outlineLvl w:val="9"/>
        <w:rPr>
          <w:rFonts w:hint="eastAsia" w:ascii="仿宋" w:hAnsi="仿宋" w:eastAsia="仿宋" w:cs="仿宋"/>
          <w:sz w:val="32"/>
          <w:szCs w:val="32"/>
        </w:rPr>
      </w:pPr>
    </w:p>
    <w:p/>
    <w:sectPr>
      <w:footerReference r:id="rId3" w:type="default"/>
      <w:pgSz w:w="11906" w:h="16838"/>
      <w:pgMar w:top="2098" w:right="1474" w:bottom="1984" w:left="1587"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B0300000000000000"/>
    <w:charset w:val="86"/>
    <w:family w:val="script"/>
    <w:pitch w:val="default"/>
    <w:sig w:usb0="00000001" w:usb1="08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420" w:leftChars="200" w:right="420" w:rightChars="200" w:firstLine="0" w:firstLineChars="0"/>
      <w:jc w:val="right"/>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eastAsia="zh-CN"/>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2"/>
      <w:numFmt w:val="chineseCounting"/>
      <w:suff w:val="nothing"/>
      <w:lvlText w:val="%1、"/>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MTJlYTdhZmVmNGRhNzNlYzJlNGUxNTNkMzljMTkifQ=="/>
  </w:docVars>
  <w:rsids>
    <w:rsidRoot w:val="744A192E"/>
    <w:rsid w:val="511B2EAD"/>
    <w:rsid w:val="5720770A"/>
    <w:rsid w:val="744A1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 宋体 行距: 1.5 倍行距"/>
    <w:basedOn w:val="1"/>
    <w:qFormat/>
    <w:uiPriority w:val="0"/>
    <w:pPr>
      <w:ind w:firstLine="0"/>
      <w:jc w:val="center"/>
    </w:pPr>
    <w:rPr>
      <w:rFonts w:ascii="Times New Roman" w:hAnsi="Times New Roman"/>
      <w:b/>
    </w:r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2"/>
    <w:basedOn w:val="1"/>
    <w:qFormat/>
    <w:uiPriority w:val="0"/>
    <w:pPr>
      <w:spacing w:line="20" w:lineRule="atLeast"/>
    </w:pPr>
    <w:rPr>
      <w:rFonts w:eastAsia="仿宋_GB2312"/>
      <w:sz w:val="32"/>
    </w:rPr>
  </w:style>
  <w:style w:type="paragraph" w:styleId="6">
    <w:name w:val="Body Text First Indent 2"/>
    <w:basedOn w:val="3"/>
    <w:qFormat/>
    <w:uiPriority w:val="0"/>
    <w:pPr>
      <w:ind w:firstLine="420" w:firstLineChars="200"/>
    </w:pPr>
  </w:style>
  <w:style w:type="character" w:customStyle="1" w:styleId="9">
    <w:name w:val="font01"/>
    <w:basedOn w:val="8"/>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838</Words>
  <Characters>920</Characters>
  <Lines>0</Lines>
  <Paragraphs>0</Paragraphs>
  <TotalTime>16</TotalTime>
  <ScaleCrop>false</ScaleCrop>
  <LinksUpToDate>false</LinksUpToDate>
  <CharactersWithSpaces>960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2022-09-13T08:38:00Z</dcterms:created>
  <dc:creator>Administrator</dc:creator>
  <cp:lastModifiedBy>Administrator</cp:lastModifiedBy>
  <cp:lastPrinted>2022-09-15T03:33:31Z</cp:lastPrinted>
  <dcterms:modified xsi:type="dcterms:W3CDTF">2022-09-15T03:36:20Z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77F24721A8BB47CD8089BAEE988B3CAC</vt:lpwstr>
  </property>
</Properties>
</file>