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right="0" w:rightChars="0" w:firstLine="320" w:firstLineChars="100"/>
        <w:jc w:val="both"/>
        <w:textAlignment w:val="auto"/>
        <w:outlineLvl w:val="9"/>
        <w:rPr>
          <w:rFonts w:hint="eastAsia" w:ascii="仿宋" w:hAnsi="仿宋" w:eastAsia="仿宋" w:cs="仿宋"/>
          <w:sz w:val="28"/>
          <w:szCs w:val="28"/>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乌审旗文化和旅游局关于报送《中共乌审旗委组织部关于反馈2023年度领导班子和</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仿宋_GB2312" w:hAnsi="仿宋_GB2312" w:eastAsia="仿宋_GB2312" w:cs="仿宋_GB2312"/>
          <w:kern w:val="2"/>
          <w:sz w:val="32"/>
          <w:szCs w:val="32"/>
          <w:lang w:val="en-US" w:eastAsia="zh-CN" w:bidi="ar"/>
        </w:rPr>
      </w:pPr>
      <w:r>
        <w:rPr>
          <w:rFonts w:hint="eastAsia" w:ascii="方正小标宋_GBK" w:hAnsi="方正小标宋_GBK" w:eastAsia="方正小标宋_GBK" w:cs="方正小标宋_GBK"/>
          <w:kern w:val="0"/>
          <w:sz w:val="44"/>
          <w:szCs w:val="44"/>
          <w:lang w:val="en-US" w:eastAsia="zh-CN" w:bidi="ar"/>
        </w:rPr>
        <w:t>领导干部考核结果的函》的报告</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旗组织部：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按照《中共乌审旗委组织部关于反馈2023年度领导班子和领导干部考核结果的函》文件要求，我局关于2023年度指标任务存在的问题整改情况如下：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一、推动高质量发展方面</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健康乌审工作、爱国卫生暨创卫工作</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val="en-US" w:eastAsia="zh-CN"/>
        </w:rPr>
        <w:t>机关单位开展健康教育内容和形式单一；无工作报告；有爱卫工作会议相关记录，但相关佐证资料不健全。</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整改措施：</w:t>
      </w:r>
      <w:r>
        <w:rPr>
          <w:rFonts w:hint="eastAsia" w:ascii="仿宋_GB2312" w:hAnsi="仿宋_GB2312" w:eastAsia="仿宋_GB2312" w:cs="仿宋_GB2312"/>
          <w:sz w:val="32"/>
          <w:szCs w:val="32"/>
        </w:rPr>
        <w:t>组织职工参与全旗各类健康教育讲座、全民健身活动和比赛，邀请蒙医院医师来单位进行健康知识普及工作，不断丰富健康教育内容；按时报送各类健康教育方案、总结；完善爱卫工作会议记录、照片等档案资料。</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完成时限：立行立改，长期坚持</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lang w:val="en-US" w:eastAsia="zh-CN"/>
        </w:rPr>
        <w:t>完成情况：完成整改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（二）推动全面乡村振兴工作：</w:t>
      </w:r>
      <w:r>
        <w:rPr>
          <w:rFonts w:hint="eastAsia" w:ascii="仿宋_GB2312" w:hAnsi="仿宋_GB2312" w:eastAsia="仿宋_GB2312" w:cs="仿宋_GB2312"/>
          <w:sz w:val="32"/>
          <w:szCs w:val="32"/>
          <w:lang w:val="en-US" w:eastAsia="zh-CN"/>
        </w:rPr>
        <w:t>全年报送乡村振兴典型经验、信息较少；完成国家、自治区巩固拓展脱贫攻坚成果同乡村振兴有效衔接考核反馈意见整改及其他反馈问题整改资料不完善。</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整改措施：</w:t>
      </w:r>
      <w:r>
        <w:rPr>
          <w:rFonts w:hint="eastAsia" w:ascii="仿宋_GB2312" w:hAnsi="仿宋_GB2312" w:eastAsia="仿宋_GB2312" w:cs="仿宋_GB2312"/>
          <w:sz w:val="32"/>
          <w:szCs w:val="32"/>
        </w:rPr>
        <w:t>进一步强化理论学习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及时安排学习贯彻习近平总书记关于“三农”工作重要论述和重要指示批示精神，以及党中央、国务院关于巩固拓展脱贫攻坚成果同乡村振兴有效衔接重要文件、会议精神学习，坚持学用结合。</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完成时限：2024年12月，长期坚持</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完成情况：正在推进</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（三）</w:t>
      </w:r>
      <w:r>
        <w:rPr>
          <w:rFonts w:hint="eastAsia" w:ascii="楷体_GB2312" w:hAnsi="楷体_GB2312" w:eastAsia="楷体_GB2312" w:cs="楷体_GB2312"/>
          <w:sz w:val="32"/>
          <w:szCs w:val="32"/>
          <w:lang w:val="en-US" w:eastAsia="zh-CN"/>
        </w:rPr>
        <w:t>招商引资和桥头堡工作：</w:t>
      </w:r>
      <w:r>
        <w:rPr>
          <w:rFonts w:hint="eastAsia" w:ascii="仿宋_GB2312" w:hAnsi="仿宋_GB2312" w:eastAsia="仿宋_GB2312" w:cs="仿宋_GB2312"/>
          <w:sz w:val="32"/>
          <w:szCs w:val="32"/>
          <w:lang w:val="en-US" w:eastAsia="zh-CN"/>
        </w:rPr>
        <w:t>日常报送较少；日常报送不及时，推进向北开放重要桥头堡建设工作资料不全。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整改措施：一是</w:t>
      </w:r>
      <w:r>
        <w:rPr>
          <w:rFonts w:hint="eastAsia" w:ascii="仿宋_GB2312" w:hAnsi="仿宋_GB2312" w:eastAsia="仿宋_GB2312" w:cs="仿宋_GB2312"/>
          <w:sz w:val="32"/>
          <w:szCs w:val="32"/>
          <w:lang w:val="en-US" w:eastAsia="zh-CN"/>
        </w:rPr>
        <w:t>我局紧紧围绕旗委、政府招商引资工作整体安排，成立了重点项目办，指定专人负责，落实日常报送，形成分管领导牵头，部门负责人督办，专人负责的日常工作体制，确保信息及时、准确。</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完善桥头堡工作档案资料，实行月报制度，本年度桥头堡工作已提前完成。</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完成时限：立行立改，长期坚持</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jc w:val="both"/>
        <w:textAlignment w:val="auto"/>
        <w:rPr>
          <w:rFonts w:hint="eastAsia"/>
          <w:lang w:val="en-US" w:eastAsia="zh-CN"/>
        </w:rPr>
      </w:pPr>
      <w:r>
        <w:rPr>
          <w:rFonts w:hint="eastAsia" w:ascii="仿宋_GB2312" w:hAnsi="仿宋_GB2312" w:eastAsia="仿宋_GB2312" w:cs="仿宋_GB2312"/>
          <w:b w:val="0"/>
          <w:bCs w:val="0"/>
          <w:color w:val="auto"/>
          <w:sz w:val="32"/>
          <w:szCs w:val="32"/>
          <w:lang w:val="en-US" w:eastAsia="zh-CN"/>
        </w:rPr>
        <w:t>完成情况：完成整改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（四）信访工作：</w:t>
      </w:r>
      <w:r>
        <w:rPr>
          <w:rFonts w:hint="eastAsia" w:ascii="仿宋_GB2312" w:hAnsi="仿宋_GB2312" w:eastAsia="仿宋_GB2312" w:cs="仿宋_GB2312"/>
          <w:sz w:val="32"/>
          <w:szCs w:val="32"/>
          <w:lang w:val="en-US" w:eastAsia="zh-CN"/>
        </w:rPr>
        <w:t>信访事项办理不及时。</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整改措施：</w:t>
      </w:r>
      <w:r>
        <w:rPr>
          <w:rFonts w:hint="eastAsia" w:ascii="仿宋_GB2312" w:hAnsi="仿宋_GB2312" w:eastAsia="仿宋_GB2312" w:cs="仿宋_GB2312"/>
          <w:sz w:val="32"/>
          <w:szCs w:val="32"/>
          <w:lang w:val="en-US" w:eastAsia="zh-CN"/>
        </w:rPr>
        <w:t>信访事项办理不及时的原因是我局2023年5月份接到的一起信访案件。该信访事项属于历史遗留问题，乌审旗文化馆在2005年至今三次搬迁办公场所期间不慎将巴日鲁先生处借展的老物件木碗丢失，2022年以来乌审旗文旅局与巴日鲁先生多次协商赔偿事宜，但因赔偿金过高一直未达成一致意见，2023年10月份，经征得巴日鲁先生同意，我局向全社会征集相同款木碗，征集事宜目前正在进行当中，待收集到一定数量木碗后由巴日鲁先生挑选最接近原木碗的一款征集品以解决此事。</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完成时限：2024年12月，长期坚持</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jc w:val="both"/>
        <w:textAlignment w:val="auto"/>
      </w:pPr>
      <w:r>
        <w:rPr>
          <w:rFonts w:hint="eastAsia" w:ascii="仿宋_GB2312" w:hAnsi="仿宋_GB2312" w:eastAsia="仿宋_GB2312" w:cs="仿宋_GB2312"/>
          <w:b w:val="0"/>
          <w:bCs w:val="0"/>
          <w:color w:val="auto"/>
          <w:sz w:val="32"/>
          <w:szCs w:val="32"/>
          <w:lang w:val="en-US" w:eastAsia="zh-CN"/>
        </w:rPr>
        <w:t>完成情况：正在推进</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（五）数字政府建设和数据资源共享工作：</w:t>
      </w:r>
      <w:r>
        <w:rPr>
          <w:rFonts w:hint="eastAsia" w:ascii="仿宋_GB2312" w:hAnsi="仿宋_GB2312" w:eastAsia="仿宋_GB2312" w:cs="仿宋_GB2312"/>
          <w:sz w:val="32"/>
          <w:szCs w:val="32"/>
          <w:lang w:val="en-US" w:eastAsia="zh-CN"/>
        </w:rPr>
        <w:t>认识不到位，部门普遍存在对数字政府的概念、意义、内容认识不足的现象；单位没有指定专人负责此项工作；单位没有及时更新数据、更新目录梳理。</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整改措施：一是</w:t>
      </w:r>
      <w:r>
        <w:rPr>
          <w:rFonts w:hint="eastAsia" w:ascii="仿宋_GB2312" w:hAnsi="仿宋_GB2312" w:eastAsia="仿宋_GB2312" w:cs="仿宋_GB2312"/>
          <w:sz w:val="32"/>
          <w:szCs w:val="32"/>
          <w:lang w:val="en-US" w:eastAsia="zh-CN"/>
        </w:rPr>
        <w:t>加强培训与宣传。组织开展数字政府建设相关的培训活动，邀请专家讲解数字政府的概念、意义和内容，提高部门人员的认识水平，通过内部宣传渠道，如公告栏、邮件等，定期推送数字政府建设的最新动态和成功案例，增强大家的认同感和参与度。</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指定专人负责。各单位应明确指定专人负责数字政府建设和数据资源共享工作，确保责任落实到人，为负责人提供必要的培训和支持，使其能够熟练掌握相关技术和业务知识，有效地推进工作。</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建立数据更新机制。制定数据更新的时间表和流程，明确各部门的数据更新责任，利用自动化工具和技术，实现数据的实时或定期更新，确保数据的时效性，加强对数据更新情况的监督和考核，对未按时更新数据的部门进行通报批评。</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定期梳理整改目录。建立数据目录梳理整改的常态化机制，定期对数据目录进行审查和更新，明确目录梳理整改的标准和要求，确保数据目录的准确性和完整性，加强部门间的协作，共同推进数据目录梳理整改工作，提高数据资源的共享效率。</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完成时限：2024年12月，长期坚持</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jc w:val="both"/>
        <w:textAlignment w:val="auto"/>
        <w:rPr>
          <w:rFonts w:hint="eastAsia"/>
          <w:lang w:val="en-US" w:eastAsia="zh-CN"/>
        </w:rPr>
      </w:pPr>
      <w:r>
        <w:rPr>
          <w:rFonts w:hint="eastAsia" w:ascii="仿宋_GB2312" w:hAnsi="仿宋_GB2312" w:eastAsia="仿宋_GB2312" w:cs="仿宋_GB2312"/>
          <w:b w:val="0"/>
          <w:bCs w:val="0"/>
          <w:color w:val="auto"/>
          <w:sz w:val="32"/>
          <w:szCs w:val="32"/>
          <w:lang w:val="en-US" w:eastAsia="zh-CN"/>
        </w:rPr>
        <w:t>完成情况：正在推进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sz w:val="32"/>
          <w:szCs w:val="32"/>
          <w:lang w:val="en-US" w:eastAsia="zh-CN"/>
        </w:rPr>
        <w:t>（六）公平竞争审查工作：</w:t>
      </w:r>
      <w:r>
        <w:rPr>
          <w:rFonts w:hint="eastAsia" w:ascii="仿宋_GB2312" w:hAnsi="仿宋_GB2312" w:eastAsia="仿宋_GB2312" w:cs="仿宋_GB2312"/>
          <w:sz w:val="32"/>
          <w:szCs w:val="32"/>
          <w:lang w:val="en-US" w:eastAsia="zh-CN"/>
        </w:rPr>
        <w:t>资料不完善。</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整改措施：一是</w:t>
      </w:r>
      <w:r>
        <w:rPr>
          <w:rFonts w:hint="eastAsia" w:ascii="仿宋_GB2312" w:hAnsi="仿宋_GB2312" w:eastAsia="仿宋_GB2312" w:cs="仿宋_GB2312"/>
          <w:sz w:val="32"/>
          <w:szCs w:val="32"/>
          <w:lang w:val="en-US" w:eastAsia="zh-CN"/>
        </w:rPr>
        <w:t>归纳整理相关工作资料，切实做到有纲有目、有框有条。</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养成资料复核的习惯，查漏补缺，消除错漏，及时完善相关工作资料。</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完成时限：立行立改，长期坚持</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jc w:val="both"/>
        <w:textAlignment w:val="auto"/>
        <w:rPr>
          <w:rFonts w:hint="eastAsia"/>
          <w:lang w:val="en-US" w:eastAsia="zh-CN"/>
        </w:rPr>
      </w:pPr>
      <w:r>
        <w:rPr>
          <w:rFonts w:hint="eastAsia" w:ascii="仿宋_GB2312" w:hAnsi="仿宋_GB2312" w:eastAsia="仿宋_GB2312" w:cs="仿宋_GB2312"/>
          <w:b w:val="0"/>
          <w:bCs w:val="0"/>
          <w:color w:val="auto"/>
          <w:sz w:val="32"/>
          <w:szCs w:val="32"/>
          <w:lang w:val="en-US" w:eastAsia="zh-CN"/>
        </w:rPr>
        <w:t>完成情况：完成整改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（七）</w:t>
      </w:r>
      <w:r>
        <w:rPr>
          <w:rFonts w:hint="eastAsia" w:ascii="楷体_GB2312" w:hAnsi="楷体_GB2312" w:eastAsia="楷体_GB2312" w:cs="楷体_GB2312"/>
          <w:sz w:val="32"/>
          <w:szCs w:val="32"/>
          <w:lang w:val="en-US" w:eastAsia="zh-CN"/>
        </w:rPr>
        <w:t>政务服务工作：</w:t>
      </w:r>
      <w:r>
        <w:rPr>
          <w:rFonts w:hint="eastAsia" w:ascii="仿宋_GB2312" w:hAnsi="仿宋_GB2312" w:eastAsia="仿宋_GB2312" w:cs="仿宋_GB2312"/>
          <w:sz w:val="32"/>
          <w:szCs w:val="32"/>
          <w:lang w:val="en-US" w:eastAsia="zh-CN"/>
        </w:rPr>
        <w:t>无典型案例；蒙速办宣传量少、不点统计助手；信息报送未完成，新媒体错敏词扣分，政策解读未完成；受理工单68件，信息未报送，工作目标没有；存在缺卡、脱岗情况。</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整改措施：一是</w:t>
      </w:r>
      <w:r>
        <w:rPr>
          <w:rFonts w:hint="eastAsia" w:ascii="仿宋_GB2312" w:hAnsi="仿宋_GB2312" w:eastAsia="仿宋_GB2312" w:cs="仿宋_GB2312"/>
          <w:sz w:val="32"/>
          <w:szCs w:val="32"/>
          <w:lang w:val="en-US" w:eastAsia="zh-CN"/>
        </w:rPr>
        <w:t>我局行政审批工作自2019年开始已进驻在旗政务服务中心，所有行政权力事项全权委托给审批股办理。2024年我局审批工作在政务服局的统一安排部署下文旅各项审批工作有序开展落实，始终遵守行政审批有关法律法规、遵守中心各项规定，积极向上，在工作中实现了无差错、无超时、无违纪的工作目标，顺利完成了各项工作任务。按时报送放管服各类软件工作，2024年报送的典型案例工作有4个，切实为企业和群众减负担增便利，持续为政务服务高水平运行提质增效，提高政务服务标准化、规范化、便利化水平。</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为了做好“蒙速办”APP宣传推广工作让群众更好更快地了解到“蒙速办”APP的便利性与实用性，在文旅在线公众号上积极宣传“蒙速办”APP的使用和旗其他机关使用“蒙速办”APP来办理业务的具体方法步骤等。</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进一步检查核实微信公众号信息内容，落实好“三审三校”制度，严格落实新闻信息审核发布机制；2024年上半年《乌审旗文化旅游产业融合发展扶持奖励办法实施细则》已在绿色乌审门户网站发布，在乌审文旅在线公众号平台转载发布，下半年政策解读现阶段正在编辑内容中。</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强化信息报送。形成领导亲自抓、专人具体抓，人人参与的良好工作格局，推动信息报送提质增效扩量。</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val="0"/>
          <w:bCs w:val="0"/>
          <w:sz w:val="32"/>
          <w:szCs w:val="32"/>
          <w:lang w:val="en-US" w:eastAsia="zh-CN"/>
        </w:rPr>
        <w:t>明确工作目标。将“快、稳、严、准、细、实”贯穿始终，多措并举处理工单诉求，稳步提升接诉即办整体工作水平，</w:t>
      </w:r>
      <w:r>
        <w:rPr>
          <w:rFonts w:hint="eastAsia" w:ascii="仿宋_GB2312" w:hAnsi="仿宋_GB2312" w:eastAsia="仿宋_GB2312" w:cs="仿宋_GB2312"/>
          <w:sz w:val="32"/>
          <w:szCs w:val="32"/>
          <w:lang w:val="en-US" w:eastAsia="zh-CN"/>
        </w:rPr>
        <w:t>推动群众幸福感和获得感显著提升。</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完成时限：2024年12月，长期坚持</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jc w:val="both"/>
        <w:textAlignment w:val="auto"/>
        <w:rPr>
          <w:rFonts w:hint="default"/>
          <w:lang w:val="en-US" w:eastAsia="zh-CN"/>
        </w:rPr>
      </w:pPr>
      <w:r>
        <w:rPr>
          <w:rFonts w:hint="eastAsia" w:ascii="仿宋_GB2312" w:hAnsi="仿宋_GB2312" w:eastAsia="仿宋_GB2312" w:cs="仿宋_GB2312"/>
          <w:b w:val="0"/>
          <w:bCs w:val="0"/>
          <w:color w:val="auto"/>
          <w:sz w:val="32"/>
          <w:szCs w:val="32"/>
          <w:lang w:val="en-US" w:eastAsia="zh-CN"/>
        </w:rPr>
        <w:t>完成情况：正在推进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（八）根治欠薪工作：</w:t>
      </w:r>
      <w:r>
        <w:rPr>
          <w:rFonts w:hint="eastAsia" w:ascii="仿宋_GB2312" w:hAnsi="仿宋_GB2312" w:eastAsia="仿宋_GB2312" w:cs="仿宋_GB2312"/>
          <w:b w:val="0"/>
          <w:bCs w:val="0"/>
          <w:sz w:val="32"/>
          <w:szCs w:val="32"/>
          <w:lang w:val="en-US" w:eastAsia="zh-CN"/>
        </w:rPr>
        <w:t>未按时参加考核。</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整改措施：</w:t>
      </w:r>
      <w:r>
        <w:rPr>
          <w:rFonts w:hint="eastAsia" w:ascii="仿宋_GB2312" w:hAnsi="仿宋_GB2312" w:eastAsia="仿宋_GB2312" w:cs="仿宋_GB2312"/>
          <w:b w:val="0"/>
          <w:bCs w:val="0"/>
          <w:sz w:val="32"/>
          <w:szCs w:val="32"/>
          <w:lang w:val="en-US" w:eastAsia="zh-CN"/>
        </w:rPr>
        <w:t>目前，我局无欠薪、拖欠工程款等问题，下一步我局高度重视，加大政策学习研究力度，安排专人负责此项工作，按时完成此项工作。</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完成时限：立行立改，长期坚持</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jc w:val="both"/>
        <w:textAlignment w:val="auto"/>
        <w:rPr>
          <w:rFonts w:hint="eastAsia"/>
          <w:lang w:val="en-US" w:eastAsia="zh-CN"/>
        </w:rPr>
      </w:pPr>
      <w:r>
        <w:rPr>
          <w:rFonts w:hint="eastAsia" w:ascii="仿宋_GB2312" w:hAnsi="仿宋_GB2312" w:eastAsia="仿宋_GB2312" w:cs="仿宋_GB2312"/>
          <w:b w:val="0"/>
          <w:bCs w:val="0"/>
          <w:color w:val="auto"/>
          <w:sz w:val="32"/>
          <w:szCs w:val="32"/>
          <w:lang w:val="en-US" w:eastAsia="zh-CN"/>
        </w:rPr>
        <w:t>完成情况：完成整改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（九）</w:t>
      </w:r>
      <w:r>
        <w:rPr>
          <w:rFonts w:hint="eastAsia" w:ascii="楷体_GB2312" w:hAnsi="楷体_GB2312" w:eastAsia="楷体_GB2312" w:cs="楷体_GB2312"/>
          <w:sz w:val="32"/>
          <w:szCs w:val="32"/>
          <w:lang w:val="en-US" w:eastAsia="zh-CN"/>
        </w:rPr>
        <w:t>档案工作：</w:t>
      </w:r>
      <w:r>
        <w:rPr>
          <w:rFonts w:hint="eastAsia" w:ascii="仿宋_GB2312" w:hAnsi="仿宋_GB2312" w:eastAsia="仿宋_GB2312" w:cs="仿宋_GB2312"/>
          <w:b w:val="0"/>
          <w:bCs w:val="0"/>
          <w:sz w:val="32"/>
          <w:szCs w:val="32"/>
          <w:lang w:val="en-US" w:eastAsia="zh-CN"/>
        </w:rPr>
        <w:t>二级部门未按规定及时归档</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整改措施：一是</w:t>
      </w:r>
      <w:r>
        <w:rPr>
          <w:rFonts w:hint="eastAsia" w:ascii="仿宋_GB2312" w:hAnsi="仿宋_GB2312" w:eastAsia="仿宋_GB2312" w:cs="仿宋_GB2312"/>
          <w:b w:val="0"/>
          <w:bCs w:val="0"/>
          <w:sz w:val="32"/>
          <w:szCs w:val="32"/>
          <w:lang w:val="en-US" w:eastAsia="zh-CN"/>
        </w:rPr>
        <w:t>‌加强档案意识教育。开展档案学习和培训活动，提高单位领导和员工对档案整理和归档工作重要性的认识，增强档案意识。</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‌完善档案管理制度。建立健全档案管理制度，明确档案管理的责任和流程，确保档案资料的收集、整理、保存和利用都有章可循。</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‌加强档案培训。定期对档案管理人员进行培训，提高其专业素质和管理能力，确保档案工作的顺利进行。</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完成时限：2024年12月，长期坚持</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jc w:val="both"/>
        <w:textAlignment w:val="auto"/>
        <w:rPr>
          <w:rFonts w:hint="eastAsia"/>
          <w:lang w:val="en-US" w:eastAsia="zh-CN"/>
        </w:rPr>
      </w:pPr>
      <w:r>
        <w:rPr>
          <w:rFonts w:hint="eastAsia" w:ascii="仿宋_GB2312" w:hAnsi="仿宋_GB2312" w:eastAsia="仿宋_GB2312" w:cs="仿宋_GB2312"/>
          <w:b w:val="0"/>
          <w:bCs w:val="0"/>
          <w:color w:val="auto"/>
          <w:sz w:val="32"/>
          <w:szCs w:val="32"/>
          <w:lang w:val="en-US" w:eastAsia="zh-CN"/>
        </w:rPr>
        <w:t>完成情况：正在推进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kern w:val="2"/>
          <w:sz w:val="32"/>
          <w:szCs w:val="32"/>
          <w:lang w:val="en-US" w:eastAsia="zh-CN" w:bidi="ar-SA"/>
        </w:rPr>
        <w:t>（十）双拥共建工作、退役军人事务工作：</w:t>
      </w:r>
      <w:r>
        <w:rPr>
          <w:rFonts w:hint="eastAsia" w:ascii="仿宋_GB2312" w:hAnsi="仿宋_GB2312" w:eastAsia="仿宋_GB2312" w:cs="仿宋_GB2312"/>
          <w:b w:val="0"/>
          <w:bCs w:val="0"/>
          <w:sz w:val="32"/>
          <w:szCs w:val="32"/>
          <w:lang w:val="en-US" w:eastAsia="zh-CN"/>
        </w:rPr>
        <w:t>未建立退役军人工作重点任务清单、责任清单和措施清单或已建立但未有效推动落实；双拥工作重视程度不够，双拥共建活动开展较少、内容和形式单一。</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整改措施：一是</w:t>
      </w:r>
      <w:r>
        <w:rPr>
          <w:rFonts w:hint="eastAsia" w:ascii="仿宋_GB2312" w:hAnsi="仿宋_GB2312" w:eastAsia="仿宋_GB2312" w:cs="仿宋_GB2312"/>
          <w:b w:val="0"/>
          <w:bCs w:val="0"/>
          <w:sz w:val="32"/>
          <w:szCs w:val="32"/>
          <w:lang w:val="en-US" w:eastAsia="zh-CN"/>
        </w:rPr>
        <w:t>加强制度建设，形成强有力的工作格局。文旅局高度重视双拥工作，始终把双拥共建作为全年宣传活 动的重要内容，制定切实可行的计划方案，常抓不懈。成立了以主要领导为组长，办公室骨干人员为成员的双拥工作领导小组， 做到了领导到位，分工明确，责任到人，推动我局双拥工作顺利开展。</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加大宣传教育，营造良好的双拥氛围。把双拥、国防教育工作与学习宣传习近平新时代中国特色社会主义思想和习近平强军思想相结合，认真组织干部职工学习党和国家有关双拥工作的政策、法规和规定，积极主动参与国防和双拥政策法规的宣传教育活动，组织开展系列宣传活动。加强舆论引导，充分发挥文旅系统优势，大力宣传双拥工作进展、对双拥政策法规的执行、双拥工作中涌现的典型事迹和典型人物，以及各行业开展的双拥共建活动进行宣传。</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完成时限：2024年12月，长期坚持</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firstLine="640" w:firstLineChars="200"/>
        <w:textAlignment w:val="auto"/>
        <w:rPr>
          <w:rFonts w:hint="default"/>
          <w:lang w:val="en-US" w:eastAsia="zh-CN"/>
        </w:rPr>
      </w:pPr>
      <w:r>
        <w:rPr>
          <w:rFonts w:hint="eastAsia" w:ascii="仿宋_GB2312" w:hAnsi="仿宋_GB2312" w:eastAsia="仿宋_GB2312" w:cs="仿宋_GB2312"/>
          <w:b w:val="0"/>
          <w:bCs w:val="0"/>
          <w:color w:val="auto"/>
          <w:sz w:val="32"/>
          <w:szCs w:val="32"/>
          <w:lang w:val="en-US" w:eastAsia="zh-CN"/>
        </w:rPr>
        <w:t>完成情况：正在推进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kern w:val="2"/>
          <w:sz w:val="32"/>
          <w:szCs w:val="32"/>
          <w:lang w:val="en-US" w:eastAsia="zh-CN" w:bidi="ar-SA"/>
        </w:rPr>
        <w:t>（十一）机关事务工作：</w:t>
      </w:r>
      <w:r>
        <w:rPr>
          <w:rFonts w:hint="eastAsia" w:ascii="仿宋_GB2312" w:hAnsi="仿宋_GB2312" w:eastAsia="仿宋_GB2312" w:cs="仿宋_GB2312"/>
          <w:b w:val="0"/>
          <w:bCs w:val="0"/>
          <w:sz w:val="32"/>
          <w:szCs w:val="32"/>
          <w:lang w:val="en-US" w:eastAsia="zh-CN"/>
        </w:rPr>
        <w:t>办公用房无自查报告。</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整改措施：</w:t>
      </w:r>
      <w:r>
        <w:rPr>
          <w:rFonts w:hint="eastAsia" w:ascii="仿宋_GB2312" w:hAnsi="仿宋_GB2312" w:eastAsia="仿宋_GB2312" w:cs="仿宋_GB2312"/>
          <w:b w:val="0"/>
          <w:bCs w:val="0"/>
          <w:sz w:val="32"/>
          <w:szCs w:val="32"/>
          <w:lang w:val="en-US" w:eastAsia="zh-CN"/>
        </w:rPr>
        <w:t>加强办公用房规范管理，完善办公用房自查报告，推动办公用房管理工作的科学化、规范化和制度化。</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完成时限：2024年12月，长期坚持</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完成情况：正在推进</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kern w:val="2"/>
          <w:sz w:val="32"/>
          <w:szCs w:val="32"/>
          <w:lang w:val="en-US" w:eastAsia="zh-CN" w:bidi="ar-SA"/>
        </w:rPr>
        <w:t>（十二）安全生产和森林草原防火工作：</w:t>
      </w:r>
      <w:r>
        <w:rPr>
          <w:rFonts w:hint="eastAsia" w:ascii="仿宋_GB2312" w:hAnsi="仿宋_GB2312" w:eastAsia="仿宋_GB2312" w:cs="仿宋_GB2312"/>
          <w:b w:val="0"/>
          <w:bCs w:val="0"/>
          <w:sz w:val="32"/>
          <w:szCs w:val="32"/>
          <w:lang w:val="en-US" w:eastAsia="zh-CN"/>
        </w:rPr>
        <w:t>解决本地区安全生产领域的重点问题户外公共娱乐场所监管责任划分不明；半专业防扑火队伍建设不全。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整改措施：</w:t>
      </w:r>
      <w:r>
        <w:rPr>
          <w:rFonts w:hint="eastAsia" w:ascii="仿宋_GB2312" w:hAnsi="仿宋_GB2312" w:eastAsia="仿宋_GB2312" w:cs="仿宋_GB2312"/>
          <w:b w:val="0"/>
          <w:bCs w:val="0"/>
          <w:sz w:val="32"/>
          <w:szCs w:val="32"/>
          <w:lang w:val="en-US" w:eastAsia="zh-CN"/>
        </w:rPr>
        <w:t>为进一步落实景区恢复开展安全生产工作，确保暑假期间给广大游客提供安全、秩序的游览环境，8月9日，文旅局开展旅游景区大型游乐设备设施疫情防控及安全生产联合执法检查，对景区内大型游乐设施、特种设备运营状况、特种设备管理制度、日常管理台账记录、作业人员持证、设备检验报告、设备使用标识、应急预案和应急演练记录、员工健康管理制度建立、公共场所消毒记录、安全生产制度、安全生产例会记录、安全教育培训记录等进行现场检查。此次检查共出动执法人员18人次，检查旅游景区3家，针对人员教育培训、设备定期维护、安全隐患排查等工作作出安全提示7条。各景区已建立由主要负责人带头的景区半专业消防队。</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完成时限：立行立改，长期坚持</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jc w:val="both"/>
        <w:textAlignment w:val="auto"/>
        <w:rPr>
          <w:rFonts w:hint="default" w:ascii="仿宋_GB2312" w:hAnsi="仿宋_GB2312" w:eastAsia="仿宋_GB2312" w:cs="仿宋_GB2312"/>
          <w:b w:val="0"/>
          <w:bCs w:val="0"/>
          <w:caps w:val="0"/>
          <w:kern w:val="2"/>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完成情况：完成整改</w:t>
      </w:r>
      <w:r>
        <w:rPr>
          <w:rFonts w:hint="eastAsia" w:ascii="仿宋_GB2312" w:hAnsi="仿宋_GB2312" w:eastAsia="仿宋_GB2312" w:cs="仿宋_GB2312"/>
          <w:b w:val="0"/>
          <w:bCs w:val="0"/>
          <w:sz w:val="32"/>
          <w:szCs w:val="32"/>
          <w:lang w:val="en-US" w:eastAsia="zh-CN"/>
        </w:rPr>
        <w:br w:type="textWrapping"/>
      </w: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caps w:val="0"/>
          <w:kern w:val="2"/>
          <w:sz w:val="32"/>
          <w:szCs w:val="32"/>
          <w:lang w:val="en-US" w:eastAsia="zh-CN" w:bidi="ar-SA"/>
        </w:rPr>
        <w:t>（十三）优化营商环境：</w:t>
      </w:r>
      <w:r>
        <w:rPr>
          <w:rFonts w:hint="eastAsia" w:ascii="仿宋_GB2312" w:hAnsi="仿宋_GB2312" w:eastAsia="仿宋_GB2312" w:cs="仿宋_GB2312"/>
          <w:b w:val="0"/>
          <w:bCs w:val="0"/>
          <w:caps w:val="0"/>
          <w:kern w:val="2"/>
          <w:sz w:val="32"/>
          <w:szCs w:val="32"/>
          <w:lang w:val="en-US" w:eastAsia="zh-CN" w:bidi="ar-SA"/>
        </w:rPr>
        <w:t>信息报送少，暖城暖企成效不显著。</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整改措施：</w:t>
      </w:r>
      <w:r>
        <w:rPr>
          <w:rFonts w:hint="eastAsia" w:ascii="仿宋_GB2312" w:hAnsi="仿宋_GB2312" w:eastAsia="仿宋_GB2312" w:cs="仿宋_GB2312"/>
          <w:b w:val="0"/>
          <w:bCs w:val="0"/>
          <w:sz w:val="32"/>
          <w:szCs w:val="32"/>
          <w:lang w:val="en-US" w:eastAsia="zh-CN"/>
        </w:rPr>
        <w:t>我局已将优化营商环境纳入工作重点，并指定专人负责，及时将优化营商环境相关信息按要求及时报送。</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完善制度建设，保障暖城暖企工作，加强制度建设，规范市场秩序。我局已出台《乌审旗农（牧）家乐旅游接待户建设标准》等一系列相关政策，规范乡村文化旅游业健康发展，细化《乌审旗文化旅游产业融合发展扶持奖励办法实施细则》《2024年乌审旗“引客入旗”奖励办法（试行）》，并且积极争取自治区级文化户奖励资金和市级贷款贴息政策补贴，逐步搭建金融服务平台，努力构建乡村多元化融资渠道，持续推进乡村文旅融合发展和产品业态创新。</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主动靠前服务，纾困解难助企业。突出服务效能，丰富文化供给。一是始终坚持“以人民为中心”的服务理念，持续推进博物馆、图书馆、乌兰牧骑场馆建设，目前乌兰牧骑演艺厅、图书馆完成基础装修，待验收，旗博物馆正在基础装修，并完成展陈大纲编制及专家论证。二是成功举办“第十七届鄂尔多斯民风民俗旅游风情节暨第三届旅游那达慕”“甘霖乌素旅游区第二届全国户外游泳邀请赛暨消夏音乐节”“暖城之约·领步山河·探索文明2024第二届乌审旗萨拉乌苏徒步大会”等大型群众类文旅活动12场，充分发挥乌兰牧骑、文化馆、马头琴乐团线上线下双服务优势，开展惠民活动20余场次，受益群众达30万余人次；乌兰牧骑、马乐团积极开展文化艺术进景区沉浸式演出活动21场次，惠及群众16万余人次；全面贯彻实施文化惠民工程，开展文化馆、非遗各类免费培训7期14门，培训学员达5000余人次，创新研发非遗特色产品100余种；马头琴乐团走进老年大学开展培训30课时，乌审旗校园马头琴精英培训班顺利开班，已授46课时；乌审旗文化馆（非物质文化遗产保护中心）荣获全国非物质文化遗产保护单位先进集体，图书馆被评为国家县级一级馆。三是完成对3户自治区文化示范户提升改造，为5家基层文化组织免费发放公共服务活动设施设备。</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完成时限：2024年12月，长期坚持</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textAlignment w:val="auto"/>
        <w:rPr>
          <w:rFonts w:hint="eastAsia"/>
          <w:lang w:val="en-US" w:eastAsia="zh-CN"/>
        </w:rPr>
      </w:pPr>
      <w:r>
        <w:rPr>
          <w:rFonts w:hint="eastAsia" w:ascii="仿宋_GB2312" w:hAnsi="仿宋_GB2312" w:eastAsia="仿宋_GB2312" w:cs="仿宋_GB2312"/>
          <w:b w:val="0"/>
          <w:bCs w:val="0"/>
          <w:color w:val="auto"/>
          <w:sz w:val="32"/>
          <w:szCs w:val="32"/>
          <w:lang w:val="en-US" w:eastAsia="zh-CN"/>
        </w:rPr>
        <w:t>完成情况：正在推进</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kern w:val="2"/>
          <w:sz w:val="32"/>
          <w:szCs w:val="32"/>
          <w:lang w:val="en-US" w:eastAsia="zh-CN" w:bidi="ar-SA"/>
        </w:rPr>
        <w:t>社会信用体系建设方面：</w:t>
      </w:r>
      <w:r>
        <w:rPr>
          <w:rFonts w:hint="eastAsia" w:ascii="仿宋_GB2312" w:hAnsi="仿宋_GB2312" w:eastAsia="仿宋_GB2312" w:cs="仿宋_GB2312"/>
          <w:b w:val="0"/>
          <w:bCs w:val="0"/>
          <w:sz w:val="32"/>
          <w:szCs w:val="32"/>
          <w:lang w:val="en-US" w:eastAsia="zh-CN"/>
        </w:rPr>
        <w:t>未按时填报自治区信用体系建设工作调度系统。</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整改措施：</w:t>
      </w:r>
      <w:r>
        <w:rPr>
          <w:rFonts w:hint="eastAsia" w:ascii="仿宋_GB2312" w:hAnsi="仿宋_GB2312" w:eastAsia="仿宋_GB2312" w:cs="仿宋_GB2312"/>
          <w:b w:val="0"/>
          <w:bCs w:val="0"/>
          <w:sz w:val="32"/>
          <w:szCs w:val="32"/>
          <w:lang w:val="en-US" w:eastAsia="zh-CN"/>
        </w:rPr>
        <w:t>根据《内蒙古自治区发展和改革委员会关于调整信用建设相关监测评估工作有关事宜的通知》（内发改财金字〔2024〕536号）文件精神，自2024年一季度起，终止旗县（市、区）季度信用监测工作，系统已更新。</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default"/>
          <w:lang w:val="en-US" w:eastAsia="zh-CN"/>
        </w:rPr>
      </w:pPr>
      <w:r>
        <w:rPr>
          <w:rFonts w:hint="eastAsia" w:ascii="仿宋_GB2312" w:hAnsi="仿宋_GB2312" w:eastAsia="仿宋_GB2312" w:cs="仿宋_GB2312"/>
          <w:b w:val="0"/>
          <w:bCs w:val="0"/>
          <w:color w:val="auto"/>
          <w:sz w:val="32"/>
          <w:szCs w:val="32"/>
          <w:lang w:val="en-US" w:eastAsia="zh-CN"/>
        </w:rPr>
        <w:t>完成情况：该项工作已经终止</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（十五）全面依法治旗方面：</w:t>
      </w:r>
      <w:r>
        <w:rPr>
          <w:rFonts w:hint="eastAsia" w:ascii="仿宋_GB2312" w:hAnsi="仿宋_GB2312" w:eastAsia="仿宋_GB2312" w:cs="仿宋_GB2312"/>
          <w:b w:val="0"/>
          <w:bCs w:val="0"/>
          <w:sz w:val="32"/>
          <w:szCs w:val="32"/>
          <w:lang w:val="en-US" w:eastAsia="zh-CN"/>
        </w:rPr>
        <w:t>无重大行政决策。</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整改措施：</w:t>
      </w:r>
      <w:r>
        <w:rPr>
          <w:rFonts w:hint="eastAsia" w:ascii="仿宋_GB2312" w:hAnsi="仿宋_GB2312" w:eastAsia="仿宋_GB2312" w:cs="仿宋_GB2312"/>
          <w:b w:val="0"/>
          <w:bCs w:val="0"/>
          <w:sz w:val="32"/>
          <w:szCs w:val="32"/>
          <w:lang w:val="en-US" w:eastAsia="zh-CN"/>
        </w:rPr>
        <w:t>根据《重大行政决策程序暂行条例》《2023年度乌审旗人民政府重大行政决策事项目录》等相关规定，我局认真梳理2023年工作，在此基础上征求各股室意见，目前尚未发现本单位2023年有重大行政决策事项。后续如有重大行政决策事项将及时报告并予以公开。</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完成时限：立行立改，长期坚持</w:t>
      </w:r>
    </w:p>
    <w:p>
      <w:pPr>
        <w:keepNext w:val="0"/>
        <w:keepLines w:val="0"/>
        <w:pageBreakBefore w:val="0"/>
        <w:widowControl w:val="0"/>
        <w:kinsoku/>
        <w:wordWrap/>
        <w:overflowPunct/>
        <w:topLinePunct w:val="0"/>
        <w:autoSpaceDE/>
        <w:autoSpaceDN/>
        <w:bidi w:val="0"/>
        <w:adjustRightInd/>
        <w:snapToGrid/>
        <w:spacing w:line="579" w:lineRule="exact"/>
        <w:ind w:left="638" w:leftChars="304" w:firstLine="0" w:firstLineChars="0"/>
        <w:textAlignment w:val="auto"/>
        <w:rPr>
          <w:rFonts w:hint="eastAsia" w:ascii="黑体" w:hAnsi="黑体" w:eastAsia="黑体" w:cs="黑体"/>
          <w:sz w:val="32"/>
          <w:szCs w:val="32"/>
          <w:lang w:val="en-US" w:eastAsia="zh-CN"/>
        </w:rPr>
      </w:pPr>
      <w:r>
        <w:rPr>
          <w:rFonts w:hint="eastAsia" w:ascii="仿宋_GB2312" w:hAnsi="仿宋_GB2312" w:eastAsia="仿宋_GB2312" w:cs="仿宋_GB2312"/>
          <w:b w:val="0"/>
          <w:bCs w:val="0"/>
          <w:color w:val="auto"/>
          <w:sz w:val="32"/>
          <w:szCs w:val="32"/>
          <w:lang w:val="en-US" w:eastAsia="zh-CN"/>
        </w:rPr>
        <w:t>完成情况：完成整改</w:t>
      </w:r>
      <w:r>
        <w:rPr>
          <w:rFonts w:hint="eastAsia" w:ascii="仿宋_GB2312" w:hAnsi="仿宋_GB2312" w:eastAsia="仿宋_GB2312" w:cs="仿宋_GB2312"/>
          <w:b w:val="0"/>
          <w:bCs w:val="0"/>
          <w:sz w:val="32"/>
          <w:szCs w:val="32"/>
          <w:lang w:val="en-US" w:eastAsia="zh-CN"/>
        </w:rPr>
        <w:br w:type="textWrapping"/>
      </w:r>
      <w:r>
        <w:rPr>
          <w:rFonts w:hint="eastAsia" w:ascii="黑体" w:hAnsi="黑体" w:eastAsia="黑体" w:cs="黑体"/>
          <w:sz w:val="32"/>
          <w:szCs w:val="32"/>
          <w:lang w:val="en-US" w:eastAsia="zh-CN"/>
        </w:rPr>
        <w:t>二、全面从严治党方面</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（一）党建工作：</w:t>
      </w:r>
      <w:r>
        <w:rPr>
          <w:rFonts w:hint="eastAsia" w:ascii="仿宋_GB2312" w:hAnsi="仿宋_GB2312" w:eastAsia="仿宋_GB2312" w:cs="仿宋_GB2312"/>
          <w:kern w:val="2"/>
          <w:sz w:val="32"/>
          <w:szCs w:val="32"/>
          <w:lang w:val="en-US" w:eastAsia="zh-CN" w:bidi="ar-SA"/>
        </w:rPr>
        <w:t>党员教育培训工作普遍完成较好，但缺乏与机关业务紧密结合的创新做法和经验总结成果，多局限在既定动作范围内；部分单位的机关党建工作缺乏创新，并且对制度执行不够有力，有一定“为做而做”的现象。</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整改措施：</w:t>
      </w:r>
      <w:r>
        <w:rPr>
          <w:rFonts w:hint="eastAsia" w:ascii="仿宋_GB2312" w:hAnsi="仿宋_GB2312" w:eastAsia="仿宋_GB2312" w:cs="仿宋_GB2312"/>
          <w:b w:val="0"/>
          <w:bCs w:val="0"/>
          <w:sz w:val="32"/>
          <w:szCs w:val="32"/>
          <w:lang w:val="en-US" w:eastAsia="zh-CN"/>
        </w:rPr>
        <w:t>加强党员活动的组织和策划，主题多样化、形式多样化。要创新性开展党建活动，组织开展党建热词猜猜猜、听红歌猜歌名、知识竞赛等不低于2，创新机关党建工作；要丰富学习形式，依托“请进来、走出去”模式，组织开展读书会、座谈讨论、邀请党校老师授课、参观红色教育基地等3次，多方结合提升学习质量。</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完成时限：立行立改，长期坚持</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textAlignment w:val="auto"/>
        <w:rPr>
          <w:rFonts w:hint="eastAsia"/>
          <w:lang w:val="en-US" w:eastAsia="zh-CN"/>
        </w:rPr>
      </w:pPr>
      <w:r>
        <w:rPr>
          <w:rFonts w:hint="eastAsia" w:ascii="仿宋_GB2312" w:hAnsi="仿宋_GB2312" w:eastAsia="仿宋_GB2312" w:cs="仿宋_GB2312"/>
          <w:b w:val="0"/>
          <w:bCs w:val="0"/>
          <w:color w:val="auto"/>
          <w:sz w:val="32"/>
          <w:szCs w:val="32"/>
          <w:lang w:val="en-US" w:eastAsia="zh-CN"/>
        </w:rPr>
        <w:t>完成情况：完成整改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（二）干部管理工作：</w:t>
      </w:r>
      <w:r>
        <w:rPr>
          <w:rFonts w:hint="eastAsia" w:ascii="仿宋_GB2312" w:hAnsi="仿宋_GB2312" w:eastAsia="仿宋_GB2312" w:cs="仿宋_GB2312"/>
          <w:b w:val="0"/>
          <w:bCs w:val="0"/>
          <w:sz w:val="32"/>
          <w:szCs w:val="32"/>
          <w:lang w:val="en-US" w:eastAsia="zh-CN"/>
        </w:rPr>
        <w:t>部分单位的干部教育培训工作不够精细，对干部集中培训学习和网络在线学习监管不严，存在一定“选学”甚至“不学”的情况；部分单位受编制及工作量的影响，对年轻公务员的招录和培养工作不到位，一些单位有空编，但是连续几年没有新招录公务员，造成公务员的接续培养工作断层；对一些退居二线的待遇类公务员管理不够有力，未能充分发挥其应有作用。</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整改措施：</w:t>
      </w:r>
      <w:r>
        <w:rPr>
          <w:rFonts w:hint="eastAsia" w:ascii="仿宋_GB2312" w:hAnsi="仿宋_GB2312" w:eastAsia="仿宋_GB2312" w:cs="仿宋_GB2312"/>
          <w:b w:val="0"/>
          <w:bCs w:val="0"/>
          <w:sz w:val="32"/>
          <w:szCs w:val="32"/>
          <w:lang w:val="en-US" w:eastAsia="zh-CN"/>
        </w:rPr>
        <w:t>强化干部教育培训工作，邀请党校老师、“上善乌审”宣讲团等授课加强对干部的教育培训；加强对干部集中培训学习和网络在线学习的监督，确保全员学习。</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完成时限：立行立改，长期坚持</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textAlignment w:val="auto"/>
        <w:rPr>
          <w:rFonts w:hint="eastAsia"/>
          <w:lang w:val="en-US" w:eastAsia="zh-CN"/>
        </w:rPr>
      </w:pPr>
      <w:r>
        <w:rPr>
          <w:rFonts w:hint="eastAsia" w:ascii="仿宋_GB2312" w:hAnsi="仿宋_GB2312" w:eastAsia="仿宋_GB2312" w:cs="仿宋_GB2312"/>
          <w:b w:val="0"/>
          <w:bCs w:val="0"/>
          <w:color w:val="auto"/>
          <w:sz w:val="32"/>
          <w:szCs w:val="32"/>
          <w:lang w:val="en-US" w:eastAsia="zh-CN"/>
        </w:rPr>
        <w:t>完成情况：完成整改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kern w:val="2"/>
          <w:sz w:val="32"/>
          <w:szCs w:val="32"/>
          <w:lang w:val="en-US" w:eastAsia="zh-CN" w:bidi="ar-SA"/>
        </w:rPr>
        <w:t>（三）意识形态建设工作：</w:t>
      </w:r>
      <w:r>
        <w:rPr>
          <w:rFonts w:hint="eastAsia" w:ascii="仿宋_GB2312" w:hAnsi="仿宋_GB2312" w:eastAsia="仿宋_GB2312" w:cs="仿宋_GB2312"/>
          <w:b w:val="0"/>
          <w:bCs w:val="0"/>
          <w:sz w:val="32"/>
          <w:szCs w:val="32"/>
          <w:lang w:val="en-US" w:eastAsia="zh-CN"/>
        </w:rPr>
        <w:t>未将网络意识形态工作纳入党组重点工作；年度总结报告无网络意识形态工作情况；微信公众号有错敏信息；新闻宣传中新闻稿件数量未达标；对外宣传新闻稿件数量不达标；为开展新时代好少年事迹学习宣传；新时代公民道德建设“十大行动”材料未报送文明办；未向各级文明网推送稿件；未向网信部门报送本单位信息化工作进展情况；未总结提炼铸牢中华民族共同体意识经验典型材料。</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整改措施：</w:t>
      </w:r>
      <w:r>
        <w:rPr>
          <w:rFonts w:hint="eastAsia" w:ascii="仿宋_GB2312" w:hAnsi="仿宋_GB2312" w:eastAsia="仿宋_GB2312" w:cs="仿宋_GB2312"/>
          <w:b w:val="0"/>
          <w:bCs w:val="0"/>
          <w:sz w:val="32"/>
          <w:szCs w:val="32"/>
          <w:lang w:val="en-US" w:eastAsia="zh-CN"/>
        </w:rPr>
        <w:t>1.将网络意识形态工作纳入党组重点工作；2.将网络意识形态工作情况纳入年初工作计划、半年总结、年度总结报告中；3.进一步检查核实微信公众号信息内容，落实好“三审三校”制度，严格落实新闻信息审核发布机制；4.积极动员各二级部门向旗级、上级新闻媒体报送新闻稿件；5.积极开展新时代好少年事迹学习宣传；6.按要求及时向旗文明办报送新时代公民道德建设“十大行动”材料；7.积极动员各二级部门向各级文明网推送稿件；8.按要求及时向网信部门报送本单位信息化工作进展情况；9.总结提炼铸牢中华民族共同体意识经验典型材料。</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完成时限：2024年12月，长期坚持</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textAlignment w:val="auto"/>
        <w:rPr>
          <w:rFonts w:hint="eastAsia"/>
          <w:lang w:val="en-US" w:eastAsia="zh-CN"/>
        </w:rPr>
      </w:pPr>
      <w:r>
        <w:rPr>
          <w:rFonts w:hint="eastAsia" w:ascii="仿宋_GB2312" w:hAnsi="仿宋_GB2312" w:eastAsia="仿宋_GB2312" w:cs="仿宋_GB2312"/>
          <w:b w:val="0"/>
          <w:bCs w:val="0"/>
          <w:color w:val="auto"/>
          <w:sz w:val="32"/>
          <w:szCs w:val="32"/>
          <w:lang w:val="en-US" w:eastAsia="zh-CN"/>
        </w:rPr>
        <w:t>完成情况：正在推进</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kern w:val="2"/>
          <w:sz w:val="32"/>
          <w:szCs w:val="32"/>
          <w:lang w:val="en-US" w:eastAsia="zh-CN" w:bidi="ar-SA"/>
        </w:rPr>
        <w:t>（四）全方位建设模范自治区工作：</w:t>
      </w:r>
      <w:r>
        <w:rPr>
          <w:rFonts w:hint="eastAsia" w:ascii="仿宋_GB2312" w:hAnsi="仿宋_GB2312" w:eastAsia="仿宋_GB2312" w:cs="仿宋_GB2312"/>
          <w:b w:val="0"/>
          <w:bCs w:val="0"/>
          <w:sz w:val="32"/>
          <w:szCs w:val="32"/>
          <w:lang w:val="en-US" w:eastAsia="zh-CN"/>
        </w:rPr>
        <w:t>铸牢阵地缺铸牢中华民族共同体意识主线内容。</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整改措施：</w:t>
      </w:r>
      <w:r>
        <w:rPr>
          <w:rFonts w:hint="eastAsia" w:ascii="仿宋_GB2312" w:hAnsi="仿宋_GB2312" w:eastAsia="仿宋_GB2312" w:cs="仿宋_GB2312"/>
          <w:b w:val="0"/>
          <w:bCs w:val="0"/>
          <w:sz w:val="32"/>
          <w:szCs w:val="32"/>
          <w:lang w:val="en-US" w:eastAsia="zh-CN"/>
        </w:rPr>
        <w:t>文化和旅游局整改铸牢阵地缺铸牢中华民族共同体意识主线内容的是我局已打造了铸牢中华民族共同体意识、全方位建设模范自治区为主线的阵地板块，其中包含1.强化宣传阐释，开展系列主题活动，传承发扬中华优秀传统文化。2.聚焦活化利用，加强文化遗产保护，讲好各民族交往交流金融故事。3.打造文艺精品，丰富群众文化生活，构建中华民族共有精神家园等三大板块。</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完成时限：2024年12月，长期坚持</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textAlignment w:val="auto"/>
        <w:rPr>
          <w:rFonts w:hint="eastAsia"/>
          <w:lang w:val="en-US" w:eastAsia="zh-CN"/>
        </w:rPr>
      </w:pPr>
      <w:r>
        <w:rPr>
          <w:rFonts w:hint="eastAsia" w:ascii="仿宋_GB2312" w:hAnsi="仿宋_GB2312" w:eastAsia="仿宋_GB2312" w:cs="仿宋_GB2312"/>
          <w:b w:val="0"/>
          <w:bCs w:val="0"/>
          <w:color w:val="auto"/>
          <w:sz w:val="32"/>
          <w:szCs w:val="32"/>
          <w:lang w:val="en-US" w:eastAsia="zh-CN"/>
        </w:rPr>
        <w:t>完成情况：正在推进</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（五）统战工作：</w:t>
      </w:r>
      <w:r>
        <w:rPr>
          <w:rFonts w:hint="eastAsia" w:ascii="仿宋_GB2312" w:hAnsi="仿宋_GB2312" w:eastAsia="仿宋_GB2312" w:cs="仿宋_GB2312"/>
          <w:b w:val="0"/>
          <w:bCs w:val="0"/>
          <w:sz w:val="32"/>
          <w:szCs w:val="32"/>
          <w:lang w:val="en-US" w:eastAsia="zh-CN"/>
        </w:rPr>
        <w:t>在旅游促“三交”方面需加大力度。</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整改措施：</w:t>
      </w:r>
      <w:r>
        <w:rPr>
          <w:rFonts w:hint="eastAsia" w:ascii="仿宋_GB2312" w:hAnsi="仿宋_GB2312" w:eastAsia="仿宋_GB2312" w:cs="仿宋_GB2312"/>
          <w:b w:val="0"/>
          <w:bCs w:val="0"/>
          <w:sz w:val="32"/>
          <w:szCs w:val="32"/>
          <w:lang w:val="en-US" w:eastAsia="zh-CN"/>
        </w:rPr>
        <w:t>2024年，在制作新版旅游宣传折页中融入“旅游促进各民族交往交流交融 铸牢中华民族共同体意识”的内容；同时，在各文旅活动中发放宣传折页、拉条幅等手段大力宣传“旅游促进各民族交往交流交融 铸牢中华民族共同体意识”</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完成时限：立行立改，长期坚持</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textAlignment w:val="auto"/>
        <w:rPr>
          <w:rFonts w:hint="eastAsia"/>
          <w:lang w:val="en-US" w:eastAsia="zh-CN"/>
        </w:rPr>
      </w:pPr>
      <w:r>
        <w:rPr>
          <w:rFonts w:hint="eastAsia" w:ascii="仿宋_GB2312" w:hAnsi="仿宋_GB2312" w:eastAsia="仿宋_GB2312" w:cs="仿宋_GB2312"/>
          <w:b w:val="0"/>
          <w:bCs w:val="0"/>
          <w:color w:val="auto"/>
          <w:sz w:val="32"/>
          <w:szCs w:val="32"/>
          <w:lang w:val="en-US" w:eastAsia="zh-CN"/>
        </w:rPr>
        <w:t>完成情况：完成整改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（六）团建工作：</w:t>
      </w:r>
      <w:r>
        <w:rPr>
          <w:rFonts w:hint="eastAsia" w:ascii="仿宋_GB2312" w:hAnsi="仿宋_GB2312" w:eastAsia="仿宋_GB2312" w:cs="仿宋_GB2312"/>
          <w:b w:val="0"/>
          <w:bCs w:val="0"/>
          <w:sz w:val="32"/>
          <w:szCs w:val="32"/>
          <w:lang w:val="en-US" w:eastAsia="zh-CN"/>
        </w:rPr>
        <w:t>“三会两制一课”落实方面、组织活动记录存在丢分项，未按要求落实团的相关制度。</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整改措施：</w:t>
      </w:r>
      <w:r>
        <w:rPr>
          <w:rFonts w:hint="eastAsia" w:ascii="仿宋_GB2312" w:hAnsi="仿宋_GB2312" w:eastAsia="仿宋_GB2312" w:cs="仿宋_GB2312"/>
          <w:b w:val="0"/>
          <w:bCs w:val="0"/>
          <w:sz w:val="32"/>
          <w:szCs w:val="32"/>
          <w:lang w:val="en-US" w:eastAsia="zh-CN"/>
        </w:rPr>
        <w:t>积极落实“三会两制一课”制度，学习习近平新时代中国特色社会主义思想，学习党的路线、方针、政策和团的政策文件，开展青年大学习、主题团日等团学活动，做好组织活动记录。</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完成时限：2024年12月，长期坚持</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完成情况：正在推进</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kern w:val="2"/>
          <w:sz w:val="32"/>
          <w:szCs w:val="32"/>
          <w:lang w:val="en-US" w:eastAsia="zh-CN" w:bidi="ar-SA"/>
        </w:rPr>
        <w:t>（七）全国青年发展型县域试点工作：</w:t>
      </w:r>
      <w:r>
        <w:rPr>
          <w:rFonts w:hint="eastAsia" w:ascii="仿宋_GB2312" w:hAnsi="仿宋_GB2312" w:eastAsia="仿宋_GB2312" w:cs="仿宋_GB2312"/>
          <w:b w:val="0"/>
          <w:bCs w:val="0"/>
          <w:sz w:val="32"/>
          <w:szCs w:val="32"/>
          <w:lang w:val="en-US" w:eastAsia="zh-CN"/>
        </w:rPr>
        <w:t>无文件审阅单，未提供《方案》相关佐证材料，未提供、备案青年发展政策，未提供青年发展专题宣传报道材料，未打造青年发展品牌。</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整改措施：一是</w:t>
      </w:r>
      <w:r>
        <w:rPr>
          <w:rFonts w:hint="eastAsia" w:ascii="仿宋_GB2312" w:hAnsi="仿宋_GB2312" w:eastAsia="仿宋_GB2312" w:cs="仿宋_GB2312"/>
          <w:b w:val="0"/>
          <w:bCs w:val="0"/>
          <w:sz w:val="32"/>
          <w:szCs w:val="32"/>
          <w:lang w:val="en-US" w:eastAsia="zh-CN"/>
        </w:rPr>
        <w:t>立即建立文件审阅单制度，对涉及青年发展型县域试点工作的文件进行严格审阅、登记，确保文件处理的规范性和可追溯性。</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全面梳理与《方案》相关的工作内容，收集整理活动照片、会议记录、成果数据等佐证材料，进行分类归档，以便随时查阅和展示。</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深入研究制定符合我旗文化和旅游领域的青年发展政策，明确政策目标、具体措施和实施步骤，并及时向相关部门备案，为青年在文化和旅游方面的发展提供有力支持。</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组织专人负责收集、整理青年发展专题宣传报道材料，包括新闻稿件、新媒体推文、图片视频等，展示我局在青年发展工作中的积极作为和成效。</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val="0"/>
          <w:bCs w:val="0"/>
          <w:sz w:val="32"/>
          <w:szCs w:val="32"/>
          <w:lang w:val="en-US" w:eastAsia="zh-CN"/>
        </w:rPr>
        <w:t>结合乌审旗文化和旅游特色，打造具有影响力的青年发展品牌。可以通过举办特色文化活动、推出青年专属旅游线路、开展文创大赛等方式，吸引青年参与，提升品牌知名度。</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完成时限：2024年12月，长期坚持</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val="0"/>
          <w:bCs w:val="0"/>
          <w:color w:val="auto"/>
          <w:sz w:val="32"/>
          <w:szCs w:val="32"/>
          <w:lang w:val="en-US" w:eastAsia="zh-CN"/>
        </w:rPr>
        <w:t>完成情况：正在推进</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乌审旗文化和旅游局</w:t>
      </w:r>
    </w:p>
    <w:p>
      <w:pPr>
        <w:keepNext w:val="0"/>
        <w:keepLines w:val="0"/>
        <w:pageBreakBefore w:val="0"/>
        <w:widowControl w:val="0"/>
        <w:kinsoku/>
        <w:wordWrap/>
        <w:overflowPunct/>
        <w:topLinePunct w:val="0"/>
        <w:autoSpaceDE/>
        <w:autoSpaceDN/>
        <w:bidi w:val="0"/>
        <w:adjustRightInd/>
        <w:snapToGrid/>
        <w:spacing w:line="579" w:lineRule="exact"/>
        <w:ind w:firstLine="5120" w:firstLineChars="16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2024年10月17日</w:t>
      </w:r>
    </w:p>
    <w:p>
      <w:pPr>
        <w:keepNext w:val="0"/>
        <w:keepLines w:val="0"/>
        <w:pageBreakBefore w:val="0"/>
        <w:kinsoku/>
        <w:wordWrap/>
        <w:overflowPunct/>
        <w:topLinePunct w:val="0"/>
        <w:autoSpaceDE/>
        <w:autoSpaceDN/>
        <w:bidi w:val="0"/>
        <w:adjustRightInd/>
        <w:snapToGrid/>
        <w:spacing w:before="0" w:after="0" w:line="579" w:lineRule="exact"/>
        <w:ind w:right="0" w:rightChars="0" w:firstLine="210" w:firstLineChars="100"/>
        <w:textAlignment w:val="auto"/>
        <w:rPr>
          <w:rFonts w:hint="default"/>
          <w:lang w:val="en-US" w:eastAsia="zh-CN"/>
        </w:rPr>
      </w:pPr>
      <w:bookmarkStart w:id="0" w:name="_GoBack"/>
      <w:bookmarkEnd w:id="0"/>
    </w:p>
    <w:sectPr>
      <w:headerReference r:id="rId3" w:type="default"/>
      <w:footerReference r:id="rId4" w:type="default"/>
      <w:footerReference r:id="rId5"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宋黑简体">
    <w:altName w:val="方正书宋_GBK"/>
    <w:panose1 w:val="02000000000000000000"/>
    <w:charset w:val="86"/>
    <w:family w:val="auto"/>
    <w:pitch w:val="default"/>
    <w:sig w:usb0="00000000" w:usb1="00000000"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845"/>
        <w:tab w:val="clear" w:pos="4153"/>
      </w:tabs>
      <w:rPr>
        <w:rFonts w:hint="eastAsia" w:asciiTheme="minorEastAsia" w:hAnsiTheme="minorEastAsia" w:eastAsiaTheme="minorEastAsia" w:cstheme="minorEastAsia"/>
        <w:sz w:val="28"/>
        <w:szCs w:val="2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r>
      <w:rPr>
        <w:rFonts w:hint="eastAsia"/>
        <w:lang w:eastAsia="zh-CN"/>
      </w:rPr>
      <w:tab/>
    </w:r>
    <w:r>
      <w:rPr>
        <w:rFonts w:hint="eastAsia" w:asciiTheme="minorEastAsia" w:hAnsiTheme="minorEastAsia" w:eastAsiaTheme="minorEastAsia" w:cstheme="minorEastAsia"/>
        <w:sz w:val="28"/>
        <w:szCs w:val="2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195580</wp:posOffset>
              </wp:positionH>
              <wp:positionV relativeFrom="paragraph">
                <wp:posOffset>-106045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4pt;margin-top:-8.35pt;height:144pt;width:144pt;mso-position-horizontal-relative:margin;mso-wrap-style:none;z-index:251660288;mso-width-relative:page;mso-height-relative:page;" filled="f" stroked="f" coordsize="21600,21600" o:gfxdata="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NtcOC3YAAAACgEAAA8AAAAAAAAAAQAg&#10;AAAAOAAAAGRycy9kb3ducmV2LnhtbFBLAQIUABQAAAAIAIdO4kDHl7XOMQIAAGEEAAAOAAAAAAAA&#10;AAEAIAAAAD0BAABkcnMvZTJvRG9jLnhtbFBLBQYAAAAABgAGAFkBAADg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2C09B4"/>
    <w:multiLevelType w:val="singleLevel"/>
    <w:tmpl w:val="422C09B4"/>
    <w:lvl w:ilvl="0" w:tentative="0">
      <w:start w:val="1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lMDRiNThmODhiOGQ0ZmM2MGM1NTZlNWI4YzVjNzQifQ=="/>
  </w:docVars>
  <w:rsids>
    <w:rsidRoot w:val="22B71913"/>
    <w:rsid w:val="00B95CDD"/>
    <w:rsid w:val="016A7234"/>
    <w:rsid w:val="03D26A3D"/>
    <w:rsid w:val="042A6EF2"/>
    <w:rsid w:val="04391ECE"/>
    <w:rsid w:val="04A9050C"/>
    <w:rsid w:val="04E672BC"/>
    <w:rsid w:val="051554AC"/>
    <w:rsid w:val="058258D0"/>
    <w:rsid w:val="06062903"/>
    <w:rsid w:val="06C6122C"/>
    <w:rsid w:val="08346D03"/>
    <w:rsid w:val="096437AB"/>
    <w:rsid w:val="0A117E47"/>
    <w:rsid w:val="0A342DB3"/>
    <w:rsid w:val="0A553E45"/>
    <w:rsid w:val="0A842E95"/>
    <w:rsid w:val="0B752F96"/>
    <w:rsid w:val="0E121122"/>
    <w:rsid w:val="0E407A3D"/>
    <w:rsid w:val="0ED51740"/>
    <w:rsid w:val="0F44355D"/>
    <w:rsid w:val="0F657030"/>
    <w:rsid w:val="0FB75ADD"/>
    <w:rsid w:val="104B3AE3"/>
    <w:rsid w:val="10861954"/>
    <w:rsid w:val="110B3006"/>
    <w:rsid w:val="11166833"/>
    <w:rsid w:val="112278CE"/>
    <w:rsid w:val="11D72467"/>
    <w:rsid w:val="129C720C"/>
    <w:rsid w:val="13515E55"/>
    <w:rsid w:val="13C54541"/>
    <w:rsid w:val="1407736F"/>
    <w:rsid w:val="146B6E96"/>
    <w:rsid w:val="15040A37"/>
    <w:rsid w:val="1528122B"/>
    <w:rsid w:val="1563166D"/>
    <w:rsid w:val="158346B4"/>
    <w:rsid w:val="15D31197"/>
    <w:rsid w:val="15DD3DC4"/>
    <w:rsid w:val="16447AA3"/>
    <w:rsid w:val="164E6A70"/>
    <w:rsid w:val="16696326"/>
    <w:rsid w:val="17D47448"/>
    <w:rsid w:val="18AE1B8A"/>
    <w:rsid w:val="19333C3D"/>
    <w:rsid w:val="193B777F"/>
    <w:rsid w:val="1987566D"/>
    <w:rsid w:val="19C07E33"/>
    <w:rsid w:val="1BFB473C"/>
    <w:rsid w:val="1CA912DA"/>
    <w:rsid w:val="1D452CDE"/>
    <w:rsid w:val="1D77006C"/>
    <w:rsid w:val="1DAF4298"/>
    <w:rsid w:val="1DCD2970"/>
    <w:rsid w:val="1DD853A7"/>
    <w:rsid w:val="1F9C1C77"/>
    <w:rsid w:val="1FD2426D"/>
    <w:rsid w:val="2040567B"/>
    <w:rsid w:val="209D487B"/>
    <w:rsid w:val="20E95D13"/>
    <w:rsid w:val="21510035"/>
    <w:rsid w:val="225237DC"/>
    <w:rsid w:val="22B71913"/>
    <w:rsid w:val="22D04E8A"/>
    <w:rsid w:val="239E2206"/>
    <w:rsid w:val="2423207F"/>
    <w:rsid w:val="245142FB"/>
    <w:rsid w:val="245F573A"/>
    <w:rsid w:val="25407646"/>
    <w:rsid w:val="25765E4A"/>
    <w:rsid w:val="25ED5F4A"/>
    <w:rsid w:val="25EF33B7"/>
    <w:rsid w:val="265E0957"/>
    <w:rsid w:val="270D1AB7"/>
    <w:rsid w:val="273D16F0"/>
    <w:rsid w:val="27427F2B"/>
    <w:rsid w:val="276C6F54"/>
    <w:rsid w:val="2A3907EE"/>
    <w:rsid w:val="2A6401B8"/>
    <w:rsid w:val="2ADB2B70"/>
    <w:rsid w:val="2B8C7E05"/>
    <w:rsid w:val="2BE0231F"/>
    <w:rsid w:val="2CA3146B"/>
    <w:rsid w:val="2CFD519D"/>
    <w:rsid w:val="2D132BDE"/>
    <w:rsid w:val="2D1660E1"/>
    <w:rsid w:val="30166D99"/>
    <w:rsid w:val="32134DB6"/>
    <w:rsid w:val="32537F20"/>
    <w:rsid w:val="32B51EF8"/>
    <w:rsid w:val="33332B63"/>
    <w:rsid w:val="33613E2E"/>
    <w:rsid w:val="337376BE"/>
    <w:rsid w:val="371768F5"/>
    <w:rsid w:val="377203B8"/>
    <w:rsid w:val="39292CF8"/>
    <w:rsid w:val="39FE4800"/>
    <w:rsid w:val="3A0472C2"/>
    <w:rsid w:val="3A112741"/>
    <w:rsid w:val="3AA86B23"/>
    <w:rsid w:val="3B39141D"/>
    <w:rsid w:val="3CCA59AF"/>
    <w:rsid w:val="3D0F2E1A"/>
    <w:rsid w:val="3D915310"/>
    <w:rsid w:val="3E043D34"/>
    <w:rsid w:val="3E3F3F54"/>
    <w:rsid w:val="3F312D2A"/>
    <w:rsid w:val="3F4A5777"/>
    <w:rsid w:val="3FE1257F"/>
    <w:rsid w:val="402A74CC"/>
    <w:rsid w:val="4092377C"/>
    <w:rsid w:val="413B7D95"/>
    <w:rsid w:val="42C302B8"/>
    <w:rsid w:val="435B1A11"/>
    <w:rsid w:val="436149EA"/>
    <w:rsid w:val="440E6D8D"/>
    <w:rsid w:val="44894335"/>
    <w:rsid w:val="45294080"/>
    <w:rsid w:val="458A0FC3"/>
    <w:rsid w:val="46CE6FD6"/>
    <w:rsid w:val="46DB13AA"/>
    <w:rsid w:val="475F3D89"/>
    <w:rsid w:val="47606678"/>
    <w:rsid w:val="48786E75"/>
    <w:rsid w:val="48BF2D31"/>
    <w:rsid w:val="48E43ED8"/>
    <w:rsid w:val="4979366E"/>
    <w:rsid w:val="49B2167F"/>
    <w:rsid w:val="49CF3C52"/>
    <w:rsid w:val="4A05330E"/>
    <w:rsid w:val="4A3B47D7"/>
    <w:rsid w:val="4AC63884"/>
    <w:rsid w:val="4B6D116B"/>
    <w:rsid w:val="4C343A36"/>
    <w:rsid w:val="4C52210E"/>
    <w:rsid w:val="4CC245AF"/>
    <w:rsid w:val="4D1C6ADB"/>
    <w:rsid w:val="4D812AEE"/>
    <w:rsid w:val="4DA3762A"/>
    <w:rsid w:val="4E6D06B8"/>
    <w:rsid w:val="4F8C1172"/>
    <w:rsid w:val="4FF754A7"/>
    <w:rsid w:val="503B3B92"/>
    <w:rsid w:val="50E2148A"/>
    <w:rsid w:val="51326CC3"/>
    <w:rsid w:val="51651CBF"/>
    <w:rsid w:val="52E720EE"/>
    <w:rsid w:val="53837051"/>
    <w:rsid w:val="53FD6E04"/>
    <w:rsid w:val="54EE2AB0"/>
    <w:rsid w:val="55F3226C"/>
    <w:rsid w:val="56457822"/>
    <w:rsid w:val="56644F18"/>
    <w:rsid w:val="56CD4634"/>
    <w:rsid w:val="57704EC8"/>
    <w:rsid w:val="57BD1C29"/>
    <w:rsid w:val="58A85581"/>
    <w:rsid w:val="590E6812"/>
    <w:rsid w:val="59E545C2"/>
    <w:rsid w:val="59FD1648"/>
    <w:rsid w:val="5A4968FF"/>
    <w:rsid w:val="5A9B3B7E"/>
    <w:rsid w:val="5B3F160B"/>
    <w:rsid w:val="5B90055D"/>
    <w:rsid w:val="5C5B5280"/>
    <w:rsid w:val="5CD940E7"/>
    <w:rsid w:val="5DD33687"/>
    <w:rsid w:val="5DD50E72"/>
    <w:rsid w:val="5E14191A"/>
    <w:rsid w:val="5E3B2275"/>
    <w:rsid w:val="5FA840C8"/>
    <w:rsid w:val="608E59B3"/>
    <w:rsid w:val="610B3826"/>
    <w:rsid w:val="6131633F"/>
    <w:rsid w:val="61811074"/>
    <w:rsid w:val="61E77DBD"/>
    <w:rsid w:val="61F26F26"/>
    <w:rsid w:val="62041822"/>
    <w:rsid w:val="620D46B6"/>
    <w:rsid w:val="621E0127"/>
    <w:rsid w:val="62347E94"/>
    <w:rsid w:val="628F77C1"/>
    <w:rsid w:val="62C03E1E"/>
    <w:rsid w:val="62E775FD"/>
    <w:rsid w:val="62E936F7"/>
    <w:rsid w:val="640657AF"/>
    <w:rsid w:val="646A4041"/>
    <w:rsid w:val="6491607B"/>
    <w:rsid w:val="64A81D34"/>
    <w:rsid w:val="651E54C6"/>
    <w:rsid w:val="652956FD"/>
    <w:rsid w:val="665C2DE4"/>
    <w:rsid w:val="668A797B"/>
    <w:rsid w:val="66A82BFF"/>
    <w:rsid w:val="68541290"/>
    <w:rsid w:val="69012AFE"/>
    <w:rsid w:val="691E189E"/>
    <w:rsid w:val="69FEF5A2"/>
    <w:rsid w:val="6A236A13"/>
    <w:rsid w:val="6BAF4A30"/>
    <w:rsid w:val="6BC44C21"/>
    <w:rsid w:val="6C9A748E"/>
    <w:rsid w:val="6E8D01FA"/>
    <w:rsid w:val="6ED722D3"/>
    <w:rsid w:val="6FC549A3"/>
    <w:rsid w:val="70C62214"/>
    <w:rsid w:val="70EE5FFA"/>
    <w:rsid w:val="70F32312"/>
    <w:rsid w:val="715A58D2"/>
    <w:rsid w:val="72DF6B7C"/>
    <w:rsid w:val="730C532F"/>
    <w:rsid w:val="733C0726"/>
    <w:rsid w:val="73407161"/>
    <w:rsid w:val="73905DAB"/>
    <w:rsid w:val="75347015"/>
    <w:rsid w:val="75357D54"/>
    <w:rsid w:val="77211F76"/>
    <w:rsid w:val="778C3E77"/>
    <w:rsid w:val="77DA7EC3"/>
    <w:rsid w:val="78063C29"/>
    <w:rsid w:val="798F01A7"/>
    <w:rsid w:val="7A573B0A"/>
    <w:rsid w:val="7A807CC3"/>
    <w:rsid w:val="7B063660"/>
    <w:rsid w:val="7BF65D63"/>
    <w:rsid w:val="7C45708E"/>
    <w:rsid w:val="7C9748B9"/>
    <w:rsid w:val="7DA857DA"/>
    <w:rsid w:val="7E1577AF"/>
    <w:rsid w:val="7E6873EC"/>
    <w:rsid w:val="7EA36676"/>
    <w:rsid w:val="7F1B255F"/>
    <w:rsid w:val="7F8D1557"/>
    <w:rsid w:val="7FC53EA1"/>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宋体" w:hAnsi="宋体"/>
      <w:b/>
      <w:bCs/>
      <w:caps/>
      <w:sz w:val="30"/>
      <w:szCs w:val="20"/>
    </w:rPr>
  </w:style>
  <w:style w:type="paragraph" w:styleId="3">
    <w:name w:val="Body Text"/>
    <w:basedOn w:val="1"/>
    <w:qFormat/>
    <w:uiPriority w:val="0"/>
    <w:pPr>
      <w:spacing w:after="120" w:afterLines="0"/>
    </w:p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UserStyle_0"/>
    <w:basedOn w:val="1"/>
    <w:next w:val="1"/>
    <w:qFormat/>
    <w:uiPriority w:val="0"/>
    <w:pPr>
      <w:spacing w:after="12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5475</Words>
  <Characters>5651</Characters>
  <Lines>0</Lines>
  <Paragraphs>0</Paragraphs>
  <TotalTime>9</TotalTime>
  <ScaleCrop>false</ScaleCrop>
  <LinksUpToDate>false</LinksUpToDate>
  <CharactersWithSpaces>5743</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2024-09-29T11:49:00Z</dcterms:created>
  <dc:creator>「枯城」云逸</dc:creator>
  <cp:lastModifiedBy>user</cp:lastModifiedBy>
  <cp:lastPrinted>2024-10-23T11:23:00Z</cp:lastPrinted>
  <dcterms:modified xsi:type="dcterms:W3CDTF">2024-12-03T17:00:46Z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92561497A6E54DB895EFC64453A4A507_13</vt:lpwstr>
  </property>
</Properties>
</file>