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宋体" w:eastAsia="华文宋体"/>
          <w:sz w:val="44"/>
          <w:szCs w:val="44"/>
        </w:rPr>
      </w:pPr>
      <w:r>
        <w:rPr>
          <w:rFonts w:hint="eastAsia" w:ascii="华文宋体" w:eastAsia="华文宋体"/>
          <w:sz w:val="44"/>
          <w:szCs w:val="44"/>
        </w:rPr>
        <w:t>乌审旗自然资源局202</w:t>
      </w:r>
      <w:r>
        <w:rPr>
          <w:rFonts w:hint="eastAsia" w:ascii="华文宋体" w:eastAsia="华文宋体"/>
          <w:sz w:val="44"/>
          <w:szCs w:val="44"/>
          <w:lang w:val="en-US" w:eastAsia="zh-CN"/>
        </w:rPr>
        <w:t>3</w:t>
      </w:r>
      <w:r>
        <w:rPr>
          <w:rFonts w:hint="eastAsia" w:ascii="华文宋体" w:eastAsia="华文宋体"/>
          <w:sz w:val="44"/>
          <w:szCs w:val="44"/>
        </w:rPr>
        <w:t>年“双随机</w:t>
      </w:r>
      <w:r>
        <w:rPr>
          <w:rFonts w:ascii="华文宋体" w:eastAsia="华文宋体"/>
          <w:sz w:val="44"/>
          <w:szCs w:val="44"/>
        </w:rPr>
        <w:t>、</w:t>
      </w:r>
    </w:p>
    <w:p>
      <w:pPr>
        <w:spacing w:line="560" w:lineRule="exact"/>
        <w:jc w:val="center"/>
        <w:rPr>
          <w:rFonts w:ascii="华文宋体" w:eastAsia="华文宋体"/>
          <w:sz w:val="44"/>
          <w:szCs w:val="44"/>
        </w:rPr>
      </w:pPr>
      <w:r>
        <w:rPr>
          <w:rFonts w:hint="eastAsia" w:ascii="华文宋体" w:eastAsia="华文宋体"/>
          <w:sz w:val="44"/>
          <w:szCs w:val="44"/>
        </w:rPr>
        <w:t>一公开”</w:t>
      </w:r>
      <w:r>
        <w:rPr>
          <w:rFonts w:ascii="华文宋体" w:eastAsia="华文宋体"/>
          <w:sz w:val="44"/>
          <w:szCs w:val="44"/>
        </w:rPr>
        <w:t>内部抽查工作实施方案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根据上级有关精神要求，为深入推进“双随机、一公开”抽查工作，进一步规范部门监管执法检查行为，加强事中事后监督管理，不断提升公正执法、文明执法水平，推进我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旗自然资源执法监管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管理工作的有效开展，结合本单位工作实际，特制定如下抽查方案：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一、抽查时间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202</w:t>
      </w: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年</w:t>
      </w:r>
      <w:r>
        <w:rPr>
          <w:rStyle w:val="4"/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7</w:t>
      </w: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月</w:t>
      </w:r>
      <w:r>
        <w:rPr>
          <w:rStyle w:val="4"/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至202</w:t>
      </w: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  <w:r>
        <w:rPr>
          <w:rStyle w:val="4"/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年12月30日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二、抽查范围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（一）抽查对象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960" w:firstLineChars="300"/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矿产企业。</w:t>
      </w:r>
      <w:r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（二）抽查比例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          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按60%比例抽取。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  </w:t>
      </w: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三、抽查内容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（一）采矿权监督检查。主要是 ：采矿权人年度信息公示工作情况（采矿权发证情况，持证矿山依法采矿情况，采矿权使用费、采矿权价款等法定费用缴纳情况，采矿权标识牌设立情况；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“三率情况”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）；矿产资源登记统计情况、矿产储量动态监测；日常监管、检查和督查中发现问题的整改情况；违反矿产资源法律法规等受到自然资源主管部门行政处罚的，行政处罚履行情况；采矿权人履行矿山地址环境保护与土地复垦义务情况（按经查的矿山地质环境保护与土地复垦方案执行情况，缴存矿山环境治理恢复基金等）；有无违反矿产资源法律、法规其他情况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ascii="微软雅黑" w:hAnsi="微软雅黑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（二）测绘质量监督检查。主要检查：项目技术文件的完整性和符合性；项目中使用的仪器、设备等的鉴定情况及精度指标与项目涉及文件的符合性；引用起始成果、资料的合法性、正确性和可靠性；相应测绘成果各项质量指标的符合性；成果资料的完整性和规范性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四、组织实施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（一）任务分工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1、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执法监察大队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负责“双随机、一公开”联合抽查工作的组织领导及协调调度。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2、随机抽取的执法人员，无法独立完成专业抽查事项的，由执法检查人员所在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股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室选派专业人员协助指导完成工作。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（二）检查方式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1、对抽取企业实施现场检查一般应采取信息比对、实地核查等方法进行。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2、对企业进行实地核查时，检查人员不少于两个人，并出示执法证，检查人员应当填写“一企一表”，并由被检查企业法定代表人签字盖章确认；被检查对象拒绝签字的应当在“一企一表”上如实记录。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（三）抽查结果公示及处理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执法检查人员要自完成“双随机、一公开”联合抽查工作后5个工作日内，将抽查结果回填“双随机与双告知综合监管系统”，抽查结果由系统完成数据交换自动归集到市场主体名下，通过“市场主体信用信息公示系统”向社会公示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  <w:t>五、工作要求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（一）周密筹划部署，抓好任务落实。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各科室要高度重视 “双随机、一公开”抽查工作，按照区政府统一部署，积极筹划，精心组织，加强宣传，认真制定具体工作方案，严格按照</w:t>
      </w:r>
      <w:r>
        <w:rPr>
          <w:rFonts w:hint="eastAsia" w:ascii="仿宋" w:eastAsia="仿宋"/>
          <w:color w:val="222222"/>
          <w:sz w:val="32"/>
          <w:szCs w:val="32"/>
        </w:rPr>
        <w:t>《乌审旗自然资源局“双随机、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一公开”实施细则》要求，按时完成各项检查工作。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(二)监管服务并举，减轻企业负担。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在抽查工作中，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(三)做好信息公示，促进信用监管。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各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股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室严格按照</w:t>
      </w:r>
      <w:r>
        <w:rPr>
          <w:rStyle w:val="4"/>
          <w:rFonts w:hint="eastAsia" w:ascii="仿宋" w:eastAsia="仿宋"/>
          <w:b w:val="0"/>
          <w:color w:val="222222"/>
          <w:sz w:val="32"/>
          <w:szCs w:val="32"/>
        </w:rPr>
        <w:t>《乌审旗自然资源局“双随机、一公开”实施细则》的要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求，做好检查结果的公示，及时回填检查结果，由系统完成数据交换自动归集到市场主体名下，通过“市场主体信用信息公示系统”向社会公示，促进形成企业诚信自律的社会氛围。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after="0" w:line="560" w:lineRule="exac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(四)认真总结经验，及时反馈情况。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222222"/>
          <w:spacing w:val="0"/>
          <w:sz w:val="32"/>
          <w:szCs w:val="32"/>
          <w:u w:val="none"/>
        </w:rPr>
        <w:t>要注重总结挖掘抽查工作中亮点、先进经验做法以及基层提升的意见建议和存在的问题。</w:t>
      </w:r>
    </w:p>
    <w:p>
      <w:pPr>
        <w:spacing w:line="560" w:lineRule="exact"/>
        <w:jc w:val="left"/>
        <w:rPr>
          <w:rFonts w:hint="eastAsia" w:asci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eastAsia="仿宋"/>
          <w:sz w:val="32"/>
          <w:szCs w:val="32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B7D22"/>
    <w:rsid w:val="4B2201F9"/>
    <w:rsid w:val="4CDB7D22"/>
    <w:rsid w:val="5A40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2023-08-22T01:01:00Z</dcterms:created>
  <dc:creator>Administrator</dc:creator>
  <cp:lastModifiedBy>Administrator</cp:lastModifiedBy>
  <dcterms:modified xsi:type="dcterms:W3CDTF">2023-08-22T01:02:00Z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A7F13D04B0F5468682C51CA65505B3A1</vt:lpwstr>
  </property>
</Properties>
</file>