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乌农牧函〔2024〕16号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pacing w:val="-20"/>
          <w:sz w:val="44"/>
          <w:szCs w:val="44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乌审旗农牧局关于转发《</w:t>
      </w:r>
      <w:r>
        <w:rPr>
          <w:rFonts w:hint="default" w:ascii="Times New Roman" w:hAnsi="Times New Roman" w:eastAsia="方正小标宋_GBK" w:cs="Times New Roman"/>
          <w:color w:val="000000" w:themeColor="text1"/>
          <w:spacing w:val="-20"/>
          <w:sz w:val="44"/>
          <w:szCs w:val="44"/>
          <w:lang w:val="en" w:eastAsia="zh-CN"/>
          <w14:textFill>
            <w14:solidFill>
              <w14:schemeClr w14:val="tx1"/>
            </w14:solidFill>
          </w14:textFill>
        </w:rPr>
        <w:t>鄂尔多斯市农牧局关于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pacing w:val="-20"/>
          <w:sz w:val="44"/>
          <w:szCs w:val="44"/>
          <w:lang w:val="e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pacing w:val="-20"/>
          <w:sz w:val="44"/>
          <w:szCs w:val="44"/>
          <w:lang w:val="en" w:eastAsia="zh-CN"/>
          <w14:textFill>
            <w14:solidFill>
              <w14:schemeClr w14:val="tx1"/>
            </w14:solidFill>
          </w14:textFill>
        </w:rPr>
        <w:t>印发鄂尔多斯市猪、禽</w:t>
      </w:r>
      <w:r>
        <w:rPr>
          <w:rFonts w:hint="default" w:ascii="Times New Roman" w:hAnsi="Times New Roman" w:eastAsia="方正小标宋_GBK" w:cs="Times New Roman"/>
          <w:color w:val="000000" w:themeColor="text1"/>
          <w:spacing w:val="-20"/>
          <w:sz w:val="44"/>
          <w:szCs w:val="44"/>
          <w:lang w:val="en"/>
          <w14:textFill>
            <w14:solidFill>
              <w14:schemeClr w14:val="tx1"/>
            </w14:solidFill>
          </w14:textFill>
        </w:rPr>
        <w:t>强制免疫“先打后补”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Times New Roman" w:hAnsi="Times New Roman" w:eastAsia="方正小标宋_GBK" w:cs="Times New Roman"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pacing w:val="-20"/>
          <w:sz w:val="44"/>
          <w:szCs w:val="44"/>
          <w:lang w:val="e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方正小标宋_GBK" w:cs="Times New Roman"/>
          <w:color w:val="000000" w:themeColor="text1"/>
          <w:spacing w:val="-20"/>
          <w:sz w:val="44"/>
          <w:szCs w:val="44"/>
          <w:lang w:val="en" w:eastAsia="zh-CN"/>
          <w14:textFill>
            <w14:solidFill>
              <w14:schemeClr w14:val="tx1"/>
            </w14:solidFill>
          </w14:textFill>
        </w:rPr>
        <w:t>实施方案的通知</w:t>
      </w:r>
      <w:r>
        <w:rPr>
          <w:rFonts w:hint="eastAsia" w:ascii="Times New Roman" w:hAnsi="Times New Roman" w:eastAsia="方正小标宋_GBK" w:cs="Times New Roman"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eastAsia="方正小标宋_GBK" w:cs="Times New Roman"/>
          <w:color w:val="000000" w:themeColor="text1"/>
          <w:spacing w:val="-20"/>
          <w:sz w:val="44"/>
          <w:szCs w:val="44"/>
          <w:lang w:val="en" w:eastAsia="zh-CN"/>
          <w14:textFill>
            <w14:solidFill>
              <w14:schemeClr w14:val="tx1"/>
            </w14:solidFill>
          </w14:textFill>
        </w:rPr>
        <w:t>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苏木镇人民政府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关于进一步做好强制免疫“先打后补”工作的通知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》（内农牧医发〔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精神，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切实做好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强制免疫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“先打后补”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工作，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现将《鄂尔多斯市农牧局关于印发鄂尔多斯市猪、禽强制免疫“先打后补”工作实施方案》（</w:t>
      </w:r>
      <w:r>
        <w:rPr>
          <w:rFonts w:hint="eastAsia" w:ascii="仿宋_GB2312" w:hAnsi="仿宋_GB2312" w:eastAsia="仿宋_GB2312" w:cs="仿宋_GB2312"/>
          <w:small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鄂农牧发〔202</w:t>
      </w:r>
      <w:r>
        <w:rPr>
          <w:rFonts w:hint="eastAsia" w:ascii="仿宋_GB2312" w:hAnsi="仿宋_GB2312" w:eastAsia="仿宋_GB2312" w:cs="仿宋_GB2312"/>
          <w:smallCaps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small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smallCap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hAnsi="仿宋_GB2312" w:eastAsia="仿宋_GB2312" w:cs="仿宋_GB2312"/>
          <w:smallCap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）（以下简称《方案》）转发给你们，请各地严格按照《方案》要求开展工作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mallCap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进一步加强《方案》宣传工作。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mallCap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各苏木镇要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通过网络、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业务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专题培训、发放明白纸等方式，加强对猪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禽强制免疫“先打后补”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政策内容、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实施范围、时间、规模养殖场户标准、病种、补助标准、补贴数量、补助资金申请、审核发放程序等内容进行宣传推广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，确保广大养殖场户应知尽知。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二、督促符合标准的养殖场户做好猪、禽强制免疫“先打后补”备案工作。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计划实施猪禽“先打后补”的养殖场户、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兽医社会化服务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组织务必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2月20日前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向旗农牧局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动物疫病预防控制中心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备案表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（《鄂尔多斯市农牧局关于印发鄂尔多斯市猪、禽强制免疫“先打后补”工作实施方案》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联系人：王新春，15044759894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jc w:val="both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规模养殖场标准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规模养殖场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标准：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存栏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300头以上或年出栏500头以上；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蛋鸡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规模养殖场标准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存栏2000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肉鸡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规模养殖场标准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出栏1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）畜种和病种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补助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畜种和病种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口蹄疫（O型）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补助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畜种和病种：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高致病性禽流感（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H5+H7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0" w:firstLineChars="200"/>
        <w:jc w:val="both"/>
        <w:textAlignment w:val="auto"/>
        <w:rPr>
          <w:rFonts w:hint="default"/>
          <w:lang w:val="en-US"/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强化责任落实、明确猪、禽强制免疫“先打后补”政策要求。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mallCap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smallCap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明确畜禽养殖经营者的强制免疫主体责任，促进养殖场户动物防疫主体责任回归，逐步形成养殖场户自主采购、自行免疫的长效机制，全面提高重大动物疫病防控能力。</w:t>
      </w:r>
      <w:r>
        <w:rPr>
          <w:rFonts w:hint="eastAsia" w:ascii="仿宋_GB2312" w:hAnsi="仿宋_GB2312" w:eastAsia="仿宋_GB2312" w:cs="仿宋_GB2312"/>
          <w:b/>
          <w:bCs/>
          <w:smallCap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smallCap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明确方案实施时间以及范围。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起，在全市猪禽养殖场户推行强制免疫“先打后补”。其中规模养殖场可自行或委托社会化服务组织开展免疫接种，政府招标采购的强制免疫疫苗停止供应猪、禽规模养殖场；散养户可灵活采取自行免疫、购买服务或配合苏木乡镇相关部门等方式，对养殖的猪、禽开展免疫接种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明确方案推进方式。以苏木乡镇为单位，统筹推进。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明确猪、禽强制免疫“先打后补”补助标准。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补助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标准：猪0型口蹄疫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一年免疫2次，每头每次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元。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禽H5+H7流感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蛋鸡、种鸡以及生长期超过70天的肉鸡按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补助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数量一年免疫3次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每只每次0.5毫升测算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生长期低于70天的肉鸡按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补助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数量一年免疫1次，每年每只0.3毫升测算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生长期低于70天的肉鸭按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补助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数量一年免疫1次，每年每只0.5毫升测算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鸭、蛋鸭按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补助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养量一年免疫3次，每只每次1毫升测算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鹅按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补助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养量一年免疫3次，每只每次1.5毫升测算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。每毫升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0.6元。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1598" w:leftChars="304" w:right="0" w:hanging="960" w:hangingChars="3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附件：《鄂尔多斯市农牧局关于印发鄂尔多斯市猪、禽强制免疫“先打后补”工作实施方案》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乌审旗农牧局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2024年2月1日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AFF602-6129-4E7A-AB3F-AF6C9981FF4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8E711AA-5542-49AE-B6DD-99AAA93D9AD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B9A347D-81FE-4D6B-AA00-7174044A268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0990E44-4E13-4F0D-8E57-BFB0D6F9433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DDB995E1-9174-48D9-B469-5F7B4BA20CF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NDEyYjg3MTM2ZTdmYzMwOGYwZTY3MDA2N2U5MWMifQ=="/>
  </w:docVars>
  <w:rsids>
    <w:rsidRoot w:val="253105AD"/>
    <w:rsid w:val="04185410"/>
    <w:rsid w:val="12F17558"/>
    <w:rsid w:val="1686445B"/>
    <w:rsid w:val="253105AD"/>
    <w:rsid w:val="31AF343E"/>
    <w:rsid w:val="323B64FA"/>
    <w:rsid w:val="6C1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210"/>
      <w:jc w:val="left"/>
    </w:pPr>
    <w:rPr>
      <w:smallCap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2024-01-31T06:41:00Z</dcterms:created>
  <dc:creator>樊旭</dc:creator>
  <cp:lastModifiedBy>够钟</cp:lastModifiedBy>
  <cp:lastPrinted>2024-01-31T07:59:00Z</cp:lastPrinted>
  <dcterms:modified xsi:type="dcterms:W3CDTF">2024-02-01T01:24:03Z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4A345FCB02C544F3A5EC88340AA75B4B_13</vt:lpwstr>
  </property>
</Properties>
</file>