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59AF">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p>
    <w:p w14:paraId="03C401C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p>
    <w:p w14:paraId="083060A8">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p>
    <w:p w14:paraId="7A81816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p>
    <w:p w14:paraId="2279E2D1">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p>
    <w:p w14:paraId="5D9F1CDB">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FDD7D4F">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乌审旗</w:t>
      </w:r>
      <w:r>
        <w:rPr>
          <w:rFonts w:hint="eastAsia" w:ascii="方正小标宋_GBK" w:hAnsi="方正小标宋_GBK" w:eastAsia="方正小标宋_GBK" w:cs="方正小标宋_GBK"/>
          <w:sz w:val="44"/>
          <w:szCs w:val="44"/>
          <w:lang w:val="en-US" w:eastAsia="zh-CN"/>
        </w:rPr>
        <w:t>应急管理局</w:t>
      </w:r>
      <w:r>
        <w:rPr>
          <w:rFonts w:hint="eastAsia" w:ascii="方正小标宋_GBK" w:hAnsi="方正小标宋_GBK" w:eastAsia="方正小标宋_GBK" w:cs="方正小标宋_GBK"/>
          <w:sz w:val="44"/>
          <w:szCs w:val="44"/>
        </w:rPr>
        <w:t>关于印发20</w:t>
      </w:r>
      <w:r>
        <w:rPr>
          <w:rFonts w:hint="eastAsia" w:ascii="方正小标宋_GBK" w:hAnsi="方正小标宋_GBK"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六月份</w:t>
      </w:r>
    </w:p>
    <w:p w14:paraId="7A645BF5">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矿山</w:t>
      </w:r>
      <w:r>
        <w:rPr>
          <w:rFonts w:hint="eastAsia" w:ascii="方正小标宋_GBK" w:hAnsi="方正小标宋_GBK" w:eastAsia="方正小标宋_GBK" w:cs="方正小标宋_GBK"/>
          <w:sz w:val="44"/>
          <w:szCs w:val="44"/>
        </w:rPr>
        <w:t>安全生产执法检查</w:t>
      </w:r>
      <w:r>
        <w:rPr>
          <w:rFonts w:hint="eastAsia" w:ascii="方正小标宋_GBK" w:hAnsi="方正小标宋_GBK" w:eastAsia="方正小标宋_GBK" w:cs="方正小标宋_GBK"/>
          <w:sz w:val="44"/>
          <w:szCs w:val="44"/>
          <w:lang w:eastAsia="zh-CN"/>
        </w:rPr>
        <w:t>计划</w:t>
      </w:r>
      <w:r>
        <w:rPr>
          <w:rFonts w:hint="eastAsia" w:ascii="方正小标宋_GBK" w:hAnsi="方正小标宋_GBK" w:eastAsia="方正小标宋_GBK" w:cs="方正小标宋_GBK"/>
          <w:sz w:val="44"/>
          <w:szCs w:val="44"/>
        </w:rPr>
        <w:t>的通知</w:t>
      </w:r>
    </w:p>
    <w:p w14:paraId="43AA6B5E">
      <w:pPr>
        <w:keepNext w:val="0"/>
        <w:keepLines w:val="0"/>
        <w:pageBreakBefore w:val="0"/>
        <w:kinsoku/>
        <w:overflowPunct/>
        <w:topLinePunct w:val="0"/>
        <w:autoSpaceDE/>
        <w:autoSpaceDN/>
        <w:bidi w:val="0"/>
        <w:spacing w:beforeAutospacing="0" w:afterAutospacing="0" w:line="579" w:lineRule="exact"/>
        <w:jc w:val="center"/>
        <w:textAlignment w:val="auto"/>
        <w:rPr>
          <w:rFonts w:hint="eastAsia" w:ascii="方正小标宋_GBK" w:hAnsi="方正小标宋_GBK" w:eastAsia="方正小标宋_GBK" w:cs="方正小标宋_GBK"/>
          <w:sz w:val="44"/>
          <w:szCs w:val="44"/>
        </w:rPr>
      </w:pPr>
    </w:p>
    <w:p w14:paraId="0F138DF9">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各相关股室队，各</w:t>
      </w:r>
      <w:r>
        <w:rPr>
          <w:rFonts w:hint="eastAsia" w:ascii="仿宋_GB2312" w:hAnsi="仿宋_GB2312" w:eastAsia="仿宋_GB2312" w:cs="仿宋_GB2312"/>
          <w:sz w:val="32"/>
          <w:szCs w:val="32"/>
          <w:lang w:eastAsia="zh-CN"/>
        </w:rPr>
        <w:t>煤矿</w:t>
      </w:r>
      <w:r>
        <w:rPr>
          <w:rFonts w:hint="eastAsia" w:ascii="仿宋_GB2312" w:hAnsi="仿宋_GB2312" w:eastAsia="仿宋_GB2312" w:cs="仿宋_GB2312"/>
          <w:sz w:val="32"/>
          <w:szCs w:val="32"/>
        </w:rPr>
        <w:t>企业：</w:t>
      </w:r>
    </w:p>
    <w:p w14:paraId="3F549748">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年六月份煤矿山安全生产执法检查计划</w:t>
      </w:r>
      <w:r>
        <w:rPr>
          <w:rFonts w:hint="eastAsia" w:ascii="仿宋_GB2312" w:hAnsi="仿宋_GB2312" w:eastAsia="仿宋_GB2312" w:cs="仿宋_GB2312"/>
          <w:sz w:val="32"/>
          <w:szCs w:val="32"/>
        </w:rPr>
        <w:t>》印发给你们，请认真执行。</w:t>
      </w:r>
    </w:p>
    <w:p w14:paraId="2F9953B0">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right="640"/>
        <w:jc w:val="center"/>
        <w:textAlignment w:val="auto"/>
        <w:rPr>
          <w:rFonts w:hint="eastAsia" w:ascii="仿宋_GB2312" w:hAnsi="仿宋_GB2312" w:eastAsia="仿宋_GB2312" w:cs="仿宋_GB2312"/>
          <w:sz w:val="32"/>
          <w:szCs w:val="32"/>
          <w:lang w:val="en-US" w:eastAsia="zh-CN"/>
        </w:rPr>
      </w:pPr>
    </w:p>
    <w:p w14:paraId="3645D80A">
      <w:pPr>
        <w:pStyle w:val="2"/>
        <w:rPr>
          <w:rFonts w:hint="eastAsia" w:ascii="仿宋_GB2312" w:hAnsi="仿宋_GB2312" w:eastAsia="仿宋_GB2312" w:cs="仿宋_GB2312"/>
          <w:lang w:val="en-US" w:eastAsia="zh-CN"/>
        </w:rPr>
      </w:pPr>
    </w:p>
    <w:p w14:paraId="4484B186">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right="64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乌审旗</w:t>
      </w:r>
      <w:r>
        <w:rPr>
          <w:rFonts w:hint="eastAsia" w:ascii="仿宋_GB2312" w:hAnsi="仿宋_GB2312" w:eastAsia="仿宋_GB2312" w:cs="仿宋_GB2312"/>
          <w:sz w:val="32"/>
          <w:szCs w:val="32"/>
          <w:lang w:eastAsia="zh-CN"/>
        </w:rPr>
        <w:t>应急管理局</w:t>
      </w:r>
    </w:p>
    <w:p w14:paraId="65A6A99D">
      <w:pPr>
        <w:keepNext w:val="0"/>
        <w:keepLines w:val="0"/>
        <w:pageBreakBefore w:val="0"/>
        <w:widowControl w:val="0"/>
        <w:kinsoku/>
        <w:wordWrap/>
        <w:overflowPunct/>
        <w:topLinePunct w:val="0"/>
        <w:autoSpaceDE/>
        <w:autoSpaceDN/>
        <w:bidi w:val="0"/>
        <w:adjustRightInd w:val="0"/>
        <w:snapToGrid w:val="0"/>
        <w:spacing w:beforeAutospacing="0" w:afterAutospacing="0" w:line="579" w:lineRule="exact"/>
        <w:ind w:right="1280"/>
        <w:jc w:val="center"/>
        <w:textAlignment w:val="auto"/>
        <w:rPr>
          <w:rFonts w:hint="eastAsia" w:ascii="仿宋_GB2312" w:hAnsi="仿宋_GB2312" w:eastAsia="仿宋_GB2312" w:cs="仿宋_GB2312"/>
          <w:sz w:val="44"/>
          <w:szCs w:val="44"/>
        </w:rPr>
        <w:sectPr>
          <w:footerReference r:id="rId3" w:type="default"/>
          <w:pgSz w:w="11906" w:h="16838"/>
          <w:pgMar w:top="4082" w:right="1474" w:bottom="1984" w:left="1587" w:header="851" w:footer="992" w:gutter="0"/>
          <w:pgNumType w:fmt="decimal"/>
          <w:cols w:space="720" w:num="1"/>
          <w:rtlGutter w:val="0"/>
          <w:docGrid w:type="lines" w:linePitch="316"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rPr>
        <w:t>日</w:t>
      </w:r>
    </w:p>
    <w:p w14:paraId="7BBD6C54">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年六月份矿山安全生产执法检查计划</w:t>
      </w:r>
    </w:p>
    <w:p w14:paraId="5C5A5F6A">
      <w:pPr>
        <w:pStyle w:val="4"/>
        <w:rPr>
          <w:rFonts w:hint="eastAsia"/>
          <w:lang w:eastAsia="zh-CN"/>
        </w:rPr>
      </w:pPr>
    </w:p>
    <w:p w14:paraId="38B874E4">
      <w:pPr>
        <w:keepNext w:val="0"/>
        <w:keepLines w:val="0"/>
        <w:pageBreakBefore w:val="0"/>
        <w:kinsoku/>
        <w:overflowPunct/>
        <w:topLinePunct w:val="0"/>
        <w:autoSpaceDE/>
        <w:autoSpaceDN/>
        <w:bidi w:val="0"/>
        <w:adjustRightInd/>
        <w:snapToGrid w:val="0"/>
        <w:spacing w:beforeAutospacing="0" w:afterAutospacing="0" w:line="579" w:lineRule="exact"/>
        <w:ind w:firstLine="640" w:firstLineChars="200"/>
        <w:jc w:val="left"/>
        <w:textAlignment w:val="auto"/>
        <w:rPr>
          <w:rFonts w:hint="eastAsia" w:ascii="仿宋_GB2312" w:hAnsi="仿宋" w:eastAsia="仿宋_GB2312" w:cs="仿宋"/>
          <w:color w:val="000000"/>
          <w:sz w:val="32"/>
          <w:szCs w:val="32"/>
        </w:rPr>
      </w:pPr>
      <w:r>
        <w:rPr>
          <w:rFonts w:hint="eastAsia" w:ascii="仿宋_GB2312" w:hAnsi="仿宋" w:eastAsia="仿宋_GB2312" w:cs="仿宋"/>
          <w:color w:val="auto"/>
          <w:sz w:val="32"/>
          <w:szCs w:val="32"/>
        </w:rPr>
        <w:t>按照乌审旗</w:t>
      </w:r>
      <w:r>
        <w:rPr>
          <w:rFonts w:hint="eastAsia" w:ascii="仿宋_GB2312" w:hAnsi="仿宋" w:eastAsia="仿宋_GB2312" w:cs="仿宋"/>
          <w:color w:val="auto"/>
          <w:sz w:val="32"/>
          <w:szCs w:val="32"/>
          <w:lang w:eastAsia="zh-CN"/>
        </w:rPr>
        <w:t>应急管理局</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eastAsia="zh-CN"/>
        </w:rPr>
        <w:t>矿山</w:t>
      </w:r>
      <w:r>
        <w:rPr>
          <w:rFonts w:hint="eastAsia" w:ascii="仿宋_GB2312" w:hAnsi="仿宋" w:eastAsia="仿宋_GB2312" w:cs="仿宋"/>
          <w:color w:val="auto"/>
          <w:sz w:val="32"/>
          <w:szCs w:val="32"/>
        </w:rPr>
        <w:t>安全监管执法计划的总体安排，</w:t>
      </w:r>
      <w:r>
        <w:rPr>
          <w:rFonts w:hint="eastAsia" w:ascii="仿宋_GB2312" w:hAnsi="仿宋" w:eastAsia="仿宋_GB2312" w:cs="仿宋"/>
          <w:color w:val="000000"/>
          <w:sz w:val="32"/>
          <w:szCs w:val="32"/>
        </w:rPr>
        <w:t>为了更好的体现计划执法，现制定</w:t>
      </w:r>
      <w:r>
        <w:rPr>
          <w:rFonts w:hint="eastAsia" w:ascii="仿宋_GB2312" w:hAnsi="仿宋" w:eastAsia="仿宋_GB2312" w:cs="仿宋"/>
          <w:color w:val="000000"/>
          <w:sz w:val="32"/>
          <w:szCs w:val="32"/>
          <w:lang w:eastAsia="zh-CN"/>
        </w:rPr>
        <w:t>六月份矿山安全生产执法检查计划</w:t>
      </w:r>
      <w:r>
        <w:rPr>
          <w:rFonts w:hint="eastAsia" w:ascii="仿宋_GB2312" w:hAnsi="仿宋" w:eastAsia="仿宋_GB2312" w:cs="仿宋"/>
          <w:color w:val="000000"/>
          <w:sz w:val="32"/>
          <w:szCs w:val="32"/>
        </w:rPr>
        <w:t>：</w:t>
      </w:r>
    </w:p>
    <w:p w14:paraId="4EFD98F4">
      <w:pPr>
        <w:keepNext w:val="0"/>
        <w:keepLines w:val="0"/>
        <w:pageBreakBefore w:val="0"/>
        <w:numPr>
          <w:ilvl w:val="0"/>
          <w:numId w:val="0"/>
        </w:numPr>
        <w:kinsoku/>
        <w:overflowPunct/>
        <w:topLinePunct w:val="0"/>
        <w:autoSpaceDE/>
        <w:autoSpaceDN/>
        <w:bidi w:val="0"/>
        <w:adjustRightInd/>
        <w:snapToGrid w:val="0"/>
        <w:spacing w:beforeAutospacing="0" w:afterAutospacing="0" w:line="579" w:lineRule="exact"/>
        <w:ind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主要工作任务</w:t>
      </w:r>
    </w:p>
    <w:p w14:paraId="213A5234">
      <w:pPr>
        <w:keepNext w:val="0"/>
        <w:keepLines w:val="0"/>
        <w:pageBreakBefore w:val="0"/>
        <w:widowControl/>
        <w:suppressLineNumbers w:val="0"/>
        <w:kinsoku/>
        <w:overflowPunct/>
        <w:topLinePunct w:val="0"/>
        <w:autoSpaceDE/>
        <w:autoSpaceDN/>
        <w:bidi w:val="0"/>
        <w:adjustRightInd/>
        <w:snapToGrid w:val="0"/>
        <w:spacing w:beforeAutospacing="0" w:afterAutospacing="0" w:line="579" w:lineRule="exact"/>
        <w:ind w:firstLine="640" w:firstLineChars="200"/>
        <w:jc w:val="left"/>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highlight w:val="none"/>
          <w:lang w:eastAsia="zh-CN"/>
        </w:rPr>
        <w:t>日常煤矿、配套洗选、非煤矿山安全监管检查工作。</w:t>
      </w:r>
    </w:p>
    <w:p w14:paraId="1F92FA0A">
      <w:pPr>
        <w:keepNext w:val="0"/>
        <w:keepLines w:val="0"/>
        <w:pageBreakBefore w:val="0"/>
        <w:widowControl/>
        <w:suppressLineNumbers w:val="0"/>
        <w:kinsoku/>
        <w:overflowPunct/>
        <w:topLinePunct w:val="0"/>
        <w:autoSpaceDE/>
        <w:autoSpaceDN/>
        <w:bidi w:val="0"/>
        <w:adjustRightInd/>
        <w:snapToGrid w:val="0"/>
        <w:spacing w:beforeAutospacing="0" w:afterAutospacing="0" w:line="579" w:lineRule="exact"/>
        <w:ind w:firstLine="640" w:firstLineChars="200"/>
        <w:jc w:val="left"/>
        <w:textAlignment w:val="auto"/>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eastAsia="zh-CN"/>
        </w:rPr>
        <w:t>2.与上级机关联合执法。</w:t>
      </w:r>
    </w:p>
    <w:p w14:paraId="33190A0C">
      <w:pPr>
        <w:pStyle w:val="2"/>
        <w:keepNext w:val="0"/>
        <w:keepLines w:val="0"/>
        <w:pageBreakBefore w:val="0"/>
        <w:kinsoku/>
        <w:overflowPunct/>
        <w:topLinePunct w:val="0"/>
        <w:autoSpaceDE/>
        <w:autoSpaceDN/>
        <w:bidi w:val="0"/>
        <w:adjustRightInd/>
        <w:snapToGrid w:val="0"/>
        <w:spacing w:after="0" w:afterLines="0" w:line="579" w:lineRule="exact"/>
        <w:ind w:left="0" w:leftChars="0"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3.按照《内蒙古自治区安全生产委员会关于印发&lt;内蒙古自治区安全生产治本攻坚三年行动方案（2024-2026年）&gt;的通知》《鄂尔多斯市安全生产委员会关于印发&lt;鄂尔多斯市安全生产治本攻坚三年行动方案（2024-2026年）&gt;的通知》</w:t>
      </w:r>
      <w:r>
        <w:rPr>
          <w:rFonts w:hint="default" w:ascii="仿宋_GB2312" w:hAnsi="Times New Roman" w:eastAsia="仿宋_GB2312" w:cs="仿宋_GB2312"/>
          <w:color w:val="auto"/>
          <w:kern w:val="2"/>
          <w:sz w:val="32"/>
          <w:szCs w:val="32"/>
          <w:lang w:val="en-US" w:eastAsia="zh-CN" w:bidi="ar"/>
        </w:rPr>
        <w:t>《乌审旗安全生产委员会关于印发</w:t>
      </w:r>
      <w:r>
        <w:rPr>
          <w:rFonts w:hint="eastAsia" w:ascii="仿宋_GB2312" w:hAnsi="Times New Roman" w:eastAsia="仿宋_GB2312" w:cs="仿宋_GB2312"/>
          <w:color w:val="auto"/>
          <w:kern w:val="2"/>
          <w:sz w:val="32"/>
          <w:szCs w:val="32"/>
          <w:lang w:val="en-US" w:eastAsia="zh-CN" w:bidi="ar"/>
        </w:rPr>
        <w:t>&lt;</w:t>
      </w:r>
      <w:r>
        <w:rPr>
          <w:rFonts w:hint="default" w:ascii="仿宋_GB2312" w:hAnsi="Times New Roman" w:eastAsia="仿宋_GB2312" w:cs="仿宋_GB2312"/>
          <w:color w:val="auto"/>
          <w:kern w:val="2"/>
          <w:sz w:val="32"/>
          <w:szCs w:val="32"/>
          <w:lang w:val="en-US" w:eastAsia="zh-CN" w:bidi="ar"/>
        </w:rPr>
        <w:t>乌审旗安全生产治本攻坚三年行动方案（2024-2026年）</w:t>
      </w:r>
      <w:r>
        <w:rPr>
          <w:rFonts w:hint="eastAsia" w:ascii="仿宋_GB2312" w:hAnsi="Times New Roman" w:eastAsia="仿宋_GB2312" w:cs="仿宋_GB2312"/>
          <w:color w:val="auto"/>
          <w:kern w:val="2"/>
          <w:sz w:val="32"/>
          <w:szCs w:val="32"/>
          <w:lang w:val="en-US" w:eastAsia="zh-CN" w:bidi="ar"/>
        </w:rPr>
        <w:t>&gt;</w:t>
      </w:r>
      <w:r>
        <w:rPr>
          <w:rFonts w:hint="default" w:ascii="仿宋_GB2312" w:hAnsi="Times New Roman" w:eastAsia="仿宋_GB2312" w:cs="仿宋_GB2312"/>
          <w:color w:val="auto"/>
          <w:kern w:val="2"/>
          <w:sz w:val="32"/>
          <w:szCs w:val="32"/>
          <w:lang w:val="en-US" w:eastAsia="zh-CN" w:bidi="ar"/>
        </w:rPr>
        <w:t>的通知》</w:t>
      </w:r>
      <w:r>
        <w:rPr>
          <w:rFonts w:hint="eastAsia" w:ascii="仿宋_GB2312" w:hAnsi="Times New Roman" w:eastAsia="仿宋_GB2312" w:cs="仿宋_GB2312"/>
          <w:color w:val="auto"/>
          <w:kern w:val="2"/>
          <w:sz w:val="32"/>
          <w:szCs w:val="32"/>
          <w:lang w:val="en-US" w:eastAsia="zh-CN" w:bidi="ar"/>
        </w:rPr>
        <w:t>《乌审旗矿山安全生产治本攻坚三年行动实施方案》</w:t>
      </w:r>
      <w:r>
        <w:rPr>
          <w:rFonts w:hint="eastAsia" w:ascii="仿宋_GB2312" w:hAnsi="仿宋" w:eastAsia="仿宋_GB2312" w:cs="仿宋"/>
          <w:color w:val="auto"/>
          <w:sz w:val="32"/>
          <w:szCs w:val="32"/>
          <w:lang w:val="en-US" w:eastAsia="zh-CN"/>
        </w:rPr>
        <w:t>开展相关工作。</w:t>
      </w:r>
    </w:p>
    <w:p w14:paraId="58BDB45D">
      <w:pPr>
        <w:pStyle w:val="2"/>
        <w:keepNext w:val="0"/>
        <w:keepLines w:val="0"/>
        <w:pageBreakBefore w:val="0"/>
        <w:kinsoku/>
        <w:overflowPunct/>
        <w:topLinePunct w:val="0"/>
        <w:autoSpaceDE/>
        <w:autoSpaceDN/>
        <w:bidi w:val="0"/>
        <w:adjustRightInd/>
        <w:snapToGrid w:val="0"/>
        <w:spacing w:after="0" w:afterLines="0" w:line="579" w:lineRule="exact"/>
        <w:ind w:left="0" w:leftChars="0"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4.按照《内蒙古自治区安全生产委员会办公室开展&lt;关于进一步加强矿山安全生产工作的实施意见&gt;贯彻情况“回头看”工作的通知》开展相关工作。</w:t>
      </w:r>
    </w:p>
    <w:p w14:paraId="344160BC">
      <w:pPr>
        <w:pStyle w:val="2"/>
        <w:keepNext w:val="0"/>
        <w:keepLines w:val="0"/>
        <w:pageBreakBefore w:val="0"/>
        <w:kinsoku/>
        <w:overflowPunct/>
        <w:topLinePunct w:val="0"/>
        <w:autoSpaceDE/>
        <w:autoSpaceDN/>
        <w:bidi w:val="0"/>
        <w:adjustRightInd/>
        <w:snapToGrid w:val="0"/>
        <w:spacing w:after="0" w:afterLines="0" w:line="579" w:lineRule="exact"/>
        <w:ind w:left="0" w:leftChars="0" w:firstLine="640" w:firstLineChars="200"/>
        <w:textAlignment w:val="auto"/>
        <w:rPr>
          <w:rFonts w:hint="eastAsia"/>
          <w:lang w:val="en-US" w:eastAsia="zh-CN"/>
        </w:rPr>
      </w:pPr>
      <w:r>
        <w:rPr>
          <w:rFonts w:hint="eastAsia" w:ascii="仿宋_GB2312" w:hAnsi="仿宋" w:eastAsia="仿宋_GB2312" w:cs="仿宋"/>
          <w:color w:val="auto"/>
          <w:sz w:val="32"/>
          <w:szCs w:val="32"/>
          <w:lang w:val="en-US" w:eastAsia="zh-CN"/>
        </w:rPr>
        <w:t>5.按照《鄂尔多斯市矿山安全监管局关于转发内蒙古自治区矿山安全监管局开展2025年全区矿山安全生产专项整治的通知》开展相关工作。</w:t>
      </w:r>
    </w:p>
    <w:p w14:paraId="5A1CED97">
      <w:pPr>
        <w:pStyle w:val="2"/>
        <w:keepNext w:val="0"/>
        <w:keepLines w:val="0"/>
        <w:pageBreakBefore w:val="0"/>
        <w:kinsoku/>
        <w:overflowPunct/>
        <w:topLinePunct w:val="0"/>
        <w:autoSpaceDE/>
        <w:autoSpaceDN/>
        <w:bidi w:val="0"/>
        <w:adjustRightInd/>
        <w:snapToGrid w:val="0"/>
        <w:spacing w:after="0" w:afterLines="0" w:line="579" w:lineRule="exact"/>
        <w:ind w:left="0" w:leftChars="0" w:firstLine="640" w:firstLineChars="200"/>
        <w:textAlignment w:val="auto"/>
        <w:rPr>
          <w:rFonts w:hint="default"/>
          <w:color w:val="auto"/>
          <w:lang w:val="en-US" w:eastAsia="zh-CN"/>
        </w:rPr>
      </w:pPr>
      <w:r>
        <w:rPr>
          <w:rFonts w:hint="eastAsia" w:ascii="仿宋_GB2312" w:hAnsi="仿宋" w:eastAsia="仿宋_GB2312" w:cs="仿宋"/>
          <w:color w:val="auto"/>
          <w:sz w:val="32"/>
          <w:szCs w:val="32"/>
          <w:lang w:val="en-US" w:eastAsia="zh-CN"/>
        </w:rPr>
        <w:t>6.按照《自治区矿山安全监管局关于严厉打击矿山安全生产非法违法行为的通知》《乌审旗应急管理局关于开展煤矿安全生产“打非治违”工作的通知》开展相关工作。</w:t>
      </w:r>
    </w:p>
    <w:p w14:paraId="61235C10">
      <w:pPr>
        <w:pStyle w:val="3"/>
        <w:keepNext w:val="0"/>
        <w:keepLines w:val="0"/>
        <w:pageBreakBefore w:val="0"/>
        <w:kinsoku/>
        <w:overflowPunct/>
        <w:topLinePunct w:val="0"/>
        <w:autoSpaceDE/>
        <w:autoSpaceDN/>
        <w:bidi w:val="0"/>
        <w:adjustRightInd/>
        <w:snapToGrid w:val="0"/>
        <w:spacing w:beforeAutospacing="0" w:afterAutospacing="0" w:line="579" w:lineRule="exact"/>
        <w:ind w:left="0" w:leftChars="0" w:firstLine="640" w:firstLineChars="200"/>
        <w:textAlignment w:val="auto"/>
        <w:rPr>
          <w:rFonts w:hint="eastAsia" w:ascii="楷体_GB2312" w:hAnsi="楷体_GB2312" w:eastAsia="楷体_GB2312" w:cs="楷体_GB2312"/>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val="en-US" w:eastAsia="zh-CN"/>
        </w:rPr>
        <w:t>监管</w:t>
      </w:r>
      <w:r>
        <w:rPr>
          <w:rFonts w:hint="eastAsia" w:ascii="黑体" w:hAnsi="黑体" w:eastAsia="黑体" w:cs="黑体"/>
          <w:color w:val="000000"/>
          <w:sz w:val="32"/>
          <w:szCs w:val="32"/>
        </w:rPr>
        <w:t>工作内容</w:t>
      </w:r>
    </w:p>
    <w:p w14:paraId="5DDCAF3D">
      <w:pPr>
        <w:keepNext w:val="0"/>
        <w:keepLines w:val="0"/>
        <w:pageBreakBefore w:val="0"/>
        <w:widowControl w:val="0"/>
        <w:kinsoku/>
        <w:wordWrap/>
        <w:overflowPunct/>
        <w:topLinePunct w:val="0"/>
        <w:autoSpaceDE/>
        <w:autoSpaceDN/>
        <w:bidi w:val="0"/>
        <w:adjustRightInd/>
        <w:snapToGrid w:val="0"/>
        <w:spacing w:beforeAutospacing="0" w:afterAutospacing="0" w:line="579" w:lineRule="exact"/>
        <w:ind w:firstLine="629"/>
        <w:textAlignment w:val="auto"/>
        <w:rPr>
          <w:rFonts w:hint="eastAsia" w:ascii="仿宋_GB2312" w:hAnsi="仿宋_GB2312" w:eastAsia="仿宋_GB2312" w:cs="仿宋_GB2312"/>
          <w:color w:val="auto"/>
          <w:kern w:val="2"/>
          <w:sz w:val="32"/>
          <w:szCs w:val="24"/>
          <w:lang w:val="en-US" w:eastAsia="zh-CN" w:bidi="ar-SA"/>
        </w:rPr>
      </w:pPr>
      <w:r>
        <w:rPr>
          <w:rFonts w:hint="eastAsia" w:ascii="楷体_GB2312" w:hAnsi="楷体_GB2312" w:eastAsia="楷体_GB2312" w:cs="楷体_GB2312"/>
          <w:color w:val="auto"/>
          <w:sz w:val="32"/>
          <w:szCs w:val="32"/>
          <w:highlight w:val="none"/>
          <w:lang w:eastAsia="zh-CN"/>
        </w:rPr>
        <w:t>煤矿及配套洗选</w:t>
      </w:r>
      <w:r>
        <w:rPr>
          <w:rFonts w:hint="eastAsia" w:ascii="楷体_GB2312" w:hAnsi="楷体_GB2312" w:eastAsia="楷体_GB2312" w:cs="楷体_GB2312"/>
          <w:color w:val="auto"/>
          <w:sz w:val="32"/>
          <w:szCs w:val="32"/>
          <w:lang w:val="en-US" w:eastAsia="zh-CN"/>
        </w:rPr>
        <w:t>检查安排。</w:t>
      </w:r>
      <w:r>
        <w:rPr>
          <w:rFonts w:hint="eastAsia" w:ascii="仿宋_GB2312" w:hAnsi="仿宋_GB2312" w:eastAsia="仿宋_GB2312" w:cs="仿宋_GB2312"/>
          <w:b w:val="0"/>
          <w:bCs w:val="0"/>
          <w:color w:val="000000"/>
          <w:sz w:val="31"/>
          <w:szCs w:val="31"/>
          <w:lang w:val="en-US" w:eastAsia="zh-CN"/>
        </w:rPr>
        <w:t>本月聘请专家对4座煤矿企业开展隐患排查整治专家会诊，</w:t>
      </w:r>
      <w:r>
        <w:rPr>
          <w:rFonts w:hint="eastAsia" w:ascii="仿宋_GB2312" w:hAnsi="仿宋_GB2312" w:eastAsia="仿宋_GB2312" w:cs="仿宋_GB2312"/>
          <w:color w:val="auto"/>
          <w:sz w:val="32"/>
          <w:szCs w:val="32"/>
          <w:lang w:val="en-US" w:eastAsia="zh-CN"/>
        </w:rPr>
        <w:t>对</w:t>
      </w:r>
      <w:bookmarkStart w:id="0" w:name="OLE_LINK1"/>
      <w:r>
        <w:rPr>
          <w:rFonts w:hint="eastAsia" w:ascii="仿宋_GB2312" w:hAnsi="仿宋_GB2312" w:eastAsia="仿宋_GB2312" w:cs="仿宋_GB2312"/>
          <w:color w:val="auto"/>
          <w:sz w:val="32"/>
          <w:szCs w:val="32"/>
          <w:lang w:val="en-US" w:eastAsia="zh-CN"/>
        </w:rPr>
        <w:t>安全生产治本攻坚三年行动</w:t>
      </w:r>
      <w:r>
        <w:rPr>
          <w:rFonts w:hint="eastAsia" w:ascii="仿宋_GB2312" w:hAnsi="仿宋_GB2312" w:eastAsia="仿宋_GB2312" w:cs="仿宋_GB2312"/>
          <w:b w:val="0"/>
          <w:bCs w:val="0"/>
          <w:color w:val="000000"/>
          <w:sz w:val="31"/>
          <w:szCs w:val="31"/>
          <w:lang w:val="en-US" w:eastAsia="zh-CN"/>
        </w:rPr>
        <w:t>、采掘、机电、一通三防</w:t>
      </w:r>
      <w:bookmarkEnd w:id="0"/>
      <w:r>
        <w:rPr>
          <w:rFonts w:hint="eastAsia" w:ascii="仿宋_GB2312" w:hAnsi="仿宋_GB2312" w:eastAsia="仿宋_GB2312" w:cs="仿宋_GB2312"/>
          <w:b w:val="0"/>
          <w:bCs w:val="0"/>
          <w:color w:val="000000"/>
          <w:sz w:val="31"/>
          <w:szCs w:val="31"/>
          <w:lang w:val="en-US" w:eastAsia="zh-CN"/>
        </w:rPr>
        <w:t>、水文地质、冲击地压、提升运输、隐蔽致灾、教育培训</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000000"/>
          <w:sz w:val="31"/>
          <w:szCs w:val="31"/>
          <w:lang w:val="en-US" w:eastAsia="zh-CN"/>
        </w:rPr>
        <w:t>外委施工队管理、</w:t>
      </w:r>
      <w:r>
        <w:rPr>
          <w:rFonts w:hint="eastAsia" w:ascii="仿宋_GB2312" w:hAnsi="仿宋_GB2312" w:eastAsia="仿宋_GB2312" w:cs="仿宋_GB2312"/>
          <w:color w:val="auto"/>
          <w:sz w:val="32"/>
          <w:szCs w:val="32"/>
          <w:lang w:val="en-US" w:eastAsia="zh-CN"/>
        </w:rPr>
        <w:t>八条硬措施落实、</w:t>
      </w:r>
      <w:r>
        <w:rPr>
          <w:rFonts w:hint="eastAsia" w:ascii="仿宋_GB2312" w:hAnsi="仿宋_GB2312" w:eastAsia="仿宋_GB2312" w:cs="仿宋_GB2312"/>
          <w:b w:val="0"/>
          <w:bCs w:val="0"/>
          <w:color w:val="000000"/>
          <w:sz w:val="31"/>
          <w:szCs w:val="31"/>
          <w:lang w:val="en-US" w:eastAsia="zh-CN"/>
        </w:rPr>
        <w:t>打非治</w:t>
      </w:r>
      <w:r>
        <w:rPr>
          <w:rFonts w:hint="eastAsia" w:ascii="仿宋_GB2312" w:hAnsi="仿宋_GB2312" w:eastAsia="仿宋_GB2312" w:cs="仿宋_GB2312"/>
          <w:color w:val="auto"/>
          <w:sz w:val="32"/>
          <w:szCs w:val="32"/>
          <w:lang w:val="en-US" w:eastAsia="zh-CN"/>
        </w:rPr>
        <w:t>违开展检查工作；对四月份检查出的隐患问题进行复查；本月重点</w:t>
      </w:r>
      <w:r>
        <w:rPr>
          <w:rFonts w:hint="eastAsia" w:ascii="仿宋_GB2312" w:hAnsi="仿宋_GB2312" w:eastAsia="仿宋_GB2312" w:cs="仿宋_GB2312"/>
          <w:b w:val="0"/>
          <w:bCs w:val="0"/>
          <w:color w:val="000000"/>
          <w:sz w:val="31"/>
          <w:szCs w:val="31"/>
          <w:lang w:val="en-US" w:eastAsia="zh-CN"/>
        </w:rPr>
        <w:t>对4座煤矿企业</w:t>
      </w:r>
      <w:r>
        <w:rPr>
          <w:rFonts w:hint="eastAsia" w:ascii="仿宋_GB2312" w:hAnsi="仿宋_GB2312" w:eastAsia="仿宋_GB2312" w:cs="仿宋_GB2312"/>
          <w:color w:val="auto"/>
          <w:sz w:val="32"/>
          <w:szCs w:val="32"/>
          <w:lang w:val="en-US" w:eastAsia="zh-CN"/>
        </w:rPr>
        <w:t>开展防治水、雨季三防、</w:t>
      </w:r>
      <w:r>
        <w:rPr>
          <w:rFonts w:hint="eastAsia" w:ascii="仿宋_GB2312" w:hAnsi="仿宋_GB2312" w:eastAsia="仿宋_GB2312" w:cs="仿宋_GB2312"/>
          <w:b w:val="0"/>
          <w:bCs w:val="0"/>
          <w:color w:val="000000"/>
          <w:sz w:val="31"/>
          <w:szCs w:val="31"/>
          <w:lang w:val="en-US" w:eastAsia="zh-CN"/>
        </w:rPr>
        <w:t>隐蔽致灾因素普查专</w:t>
      </w:r>
      <w:r>
        <w:rPr>
          <w:rFonts w:hint="eastAsia" w:ascii="仿宋_GB2312" w:hAnsi="仿宋_GB2312" w:eastAsia="仿宋_GB2312" w:cs="仿宋_GB2312"/>
          <w:color w:val="auto"/>
          <w:sz w:val="32"/>
          <w:szCs w:val="32"/>
          <w:lang w:val="en-US" w:eastAsia="zh-CN"/>
        </w:rPr>
        <w:t>项检查；对配套洗选安全管理、教育培训、电气安全、特种作业、应急管理、防火防爆、卸煤、储煤、煤炭分选等开展检查工作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并针对月度风险研判中：巴彦高勒煤矿33103工作面回采工作面、53101充填工作面、33102回撤通道掘进工作面、33110回风顺槽掘进工作面、531盘区并联风道掘进工作面、53103回风顺槽外段掘进工作面、622盘区2-2中煤层辅运联络巷掘进工作面，营盘壕煤矿</w:t>
      </w:r>
      <w:r>
        <w:rPr>
          <w:rFonts w:hint="eastAsia" w:ascii="仿宋_GB2312" w:hAnsi="仿宋_GB2312" w:eastAsia="仿宋_GB2312" w:cs="仿宋_GB2312"/>
          <w:color w:val="auto"/>
          <w:sz w:val="32"/>
          <w:szCs w:val="32"/>
          <w:highlight w:val="none"/>
          <w:lang w:val="en-US" w:eastAsia="zh-CN"/>
        </w:rPr>
        <w:t>2202综放工作面、2104辅运顺槽掘进工作面、2213辅运顺槽掘进工作面、2104胶运顺槽掘进工作面、2203胶运顺槽掘进工作面、北翼回风大巷掘进工作面，</w:t>
      </w:r>
      <w:r>
        <w:rPr>
          <w:rFonts w:hint="eastAsia" w:ascii="仿宋_GB2312" w:hAnsi="仿宋_GB2312" w:eastAsia="仿宋_GB2312" w:cs="仿宋_GB2312"/>
          <w:color w:val="auto"/>
          <w:sz w:val="32"/>
          <w:szCs w:val="32"/>
          <w:lang w:val="en-US" w:eastAsia="zh-CN"/>
        </w:rPr>
        <w:t>白家海子煤矿</w:t>
      </w:r>
      <w:r>
        <w:rPr>
          <w:rFonts w:hint="eastAsia" w:ascii="仿宋_GB2312" w:hAnsi="仿宋_GB2312" w:eastAsia="仿宋_GB2312" w:cs="仿宋_GB2312"/>
          <w:color w:val="auto"/>
          <w:sz w:val="30"/>
          <w:szCs w:val="30"/>
          <w:lang w:val="en-US" w:eastAsia="zh-CN"/>
        </w:rPr>
        <w:t>北翼辅助运输大巷</w:t>
      </w:r>
      <w:r>
        <w:rPr>
          <w:rFonts w:hint="eastAsia" w:ascii="仿宋_GB2312" w:hAnsi="仿宋_GB2312" w:eastAsia="仿宋_GB2312" w:cs="仿宋_GB2312"/>
          <w:color w:val="auto"/>
          <w:sz w:val="32"/>
          <w:szCs w:val="32"/>
          <w:highlight w:val="none"/>
          <w:lang w:val="en-US" w:eastAsia="zh-CN"/>
        </w:rPr>
        <w:t>掘进工作面</w:t>
      </w:r>
      <w:r>
        <w:rPr>
          <w:rFonts w:hint="eastAsia" w:ascii="仿宋_GB2312" w:hAnsi="仿宋_GB2312" w:eastAsia="仿宋_GB2312" w:cs="仿宋_GB2312"/>
          <w:color w:val="auto"/>
          <w:sz w:val="30"/>
          <w:szCs w:val="30"/>
          <w:lang w:val="en-US" w:eastAsia="zh-CN"/>
        </w:rPr>
        <w:t>、北翼胶运大巷（机头硐室）</w:t>
      </w:r>
      <w:r>
        <w:rPr>
          <w:rFonts w:hint="eastAsia" w:ascii="仿宋_GB2312" w:hAnsi="仿宋_GB2312" w:eastAsia="仿宋_GB2312" w:cs="仿宋_GB2312"/>
          <w:color w:val="auto"/>
          <w:sz w:val="32"/>
          <w:szCs w:val="32"/>
          <w:highlight w:val="none"/>
          <w:lang w:val="en-US" w:eastAsia="zh-CN"/>
        </w:rPr>
        <w:t>掘进工作面</w:t>
      </w:r>
      <w:r>
        <w:rPr>
          <w:rFonts w:hint="eastAsia" w:ascii="仿宋_GB2312" w:hAnsi="仿宋_GB2312" w:eastAsia="仿宋_GB2312" w:cs="仿宋_GB2312"/>
          <w:color w:val="auto"/>
          <w:sz w:val="30"/>
          <w:szCs w:val="30"/>
          <w:lang w:val="en-US" w:eastAsia="zh-CN"/>
        </w:rPr>
        <w:t>、北翼回风大巷</w:t>
      </w:r>
      <w:r>
        <w:rPr>
          <w:rFonts w:hint="eastAsia" w:ascii="仿宋_GB2312" w:hAnsi="仿宋_GB2312" w:eastAsia="仿宋_GB2312" w:cs="仿宋_GB2312"/>
          <w:color w:val="auto"/>
          <w:sz w:val="32"/>
          <w:szCs w:val="32"/>
          <w:highlight w:val="none"/>
          <w:lang w:val="en-US" w:eastAsia="zh-CN"/>
        </w:rPr>
        <w:t>掘进工作面</w:t>
      </w:r>
      <w:r>
        <w:rPr>
          <w:rFonts w:hint="eastAsia" w:ascii="仿宋_GB2312" w:hAnsi="仿宋_GB2312" w:eastAsia="仿宋_GB2312" w:cs="仿宋_GB2312"/>
          <w:color w:val="auto"/>
          <w:sz w:val="30"/>
          <w:szCs w:val="30"/>
          <w:lang w:val="en-US" w:eastAsia="zh-CN"/>
        </w:rPr>
        <w:t>、东翼辅助运输</w:t>
      </w:r>
      <w:r>
        <w:rPr>
          <w:rFonts w:hint="eastAsia" w:ascii="仿宋_GB2312" w:hAnsi="仿宋_GB2312" w:eastAsia="仿宋_GB2312" w:cs="仿宋_GB2312"/>
          <w:color w:val="auto"/>
          <w:sz w:val="32"/>
          <w:szCs w:val="32"/>
          <w:highlight w:val="none"/>
          <w:lang w:val="en-US" w:eastAsia="zh-CN"/>
        </w:rPr>
        <w:t>掘进工作面</w:t>
      </w:r>
      <w:r>
        <w:rPr>
          <w:rFonts w:hint="eastAsia" w:ascii="仿宋_GB2312" w:hAnsi="仿宋_GB2312" w:eastAsia="仿宋_GB2312" w:cs="仿宋_GB2312"/>
          <w:color w:val="auto"/>
          <w:sz w:val="30"/>
          <w:szCs w:val="30"/>
          <w:lang w:val="en-US" w:eastAsia="zh-CN"/>
        </w:rPr>
        <w:t>、东翼回风大巷</w:t>
      </w:r>
      <w:r>
        <w:rPr>
          <w:rFonts w:hint="eastAsia" w:ascii="仿宋_GB2312" w:hAnsi="仿宋_GB2312" w:eastAsia="仿宋_GB2312" w:cs="仿宋_GB2312"/>
          <w:color w:val="auto"/>
          <w:sz w:val="32"/>
          <w:szCs w:val="32"/>
          <w:highlight w:val="none"/>
          <w:lang w:val="en-US" w:eastAsia="zh-CN"/>
        </w:rPr>
        <w:t>掘进工作面</w:t>
      </w:r>
      <w:r>
        <w:rPr>
          <w:rFonts w:hint="eastAsia" w:ascii="仿宋_GB2312" w:hAnsi="仿宋_GB2312" w:eastAsia="仿宋_GB2312" w:cs="仿宋_GB2312"/>
          <w:color w:val="auto"/>
          <w:sz w:val="30"/>
          <w:szCs w:val="30"/>
          <w:lang w:val="en-US" w:eastAsia="zh-CN"/>
        </w:rPr>
        <w:t>、东翼胶带运输巷</w:t>
      </w:r>
      <w:r>
        <w:rPr>
          <w:rFonts w:hint="eastAsia" w:ascii="仿宋_GB2312" w:hAnsi="仿宋_GB2312" w:eastAsia="仿宋_GB2312" w:cs="仿宋_GB2312"/>
          <w:color w:val="auto"/>
          <w:sz w:val="32"/>
          <w:szCs w:val="32"/>
          <w:highlight w:val="none"/>
          <w:lang w:val="en-US" w:eastAsia="zh-CN"/>
        </w:rPr>
        <w:t>掘进工作面</w:t>
      </w:r>
      <w:r>
        <w:rPr>
          <w:rFonts w:hint="eastAsia" w:ascii="仿宋_GB2312" w:hAnsi="仿宋_GB2312" w:eastAsia="仿宋_GB2312" w:cs="仿宋_GB2312"/>
          <w:color w:val="auto"/>
          <w:sz w:val="30"/>
          <w:szCs w:val="30"/>
          <w:lang w:val="en-US" w:eastAsia="zh-CN"/>
        </w:rPr>
        <w:t>、主井装载输送机巷</w:t>
      </w:r>
      <w:r>
        <w:rPr>
          <w:rFonts w:hint="eastAsia" w:ascii="仿宋_GB2312" w:hAnsi="仿宋_GB2312" w:eastAsia="仿宋_GB2312" w:cs="仿宋_GB2312"/>
          <w:color w:val="auto"/>
          <w:sz w:val="32"/>
          <w:szCs w:val="32"/>
          <w:highlight w:val="none"/>
          <w:lang w:val="en-US" w:eastAsia="zh-CN"/>
        </w:rPr>
        <w:t>掘进工作面</w:t>
      </w:r>
      <w:r>
        <w:rPr>
          <w:rFonts w:hint="eastAsia" w:ascii="仿宋_GB2312" w:hAnsi="仿宋_GB2312" w:eastAsia="仿宋_GB2312" w:cs="仿宋_GB2312"/>
          <w:color w:val="auto"/>
          <w:sz w:val="32"/>
          <w:szCs w:val="32"/>
          <w:lang w:val="en-US" w:eastAsia="zh-CN"/>
        </w:rPr>
        <w:t>，陶忽图煤矿井底车场西侧绕道</w:t>
      </w:r>
      <w:r>
        <w:rPr>
          <w:rFonts w:hint="eastAsia" w:ascii="仿宋_GB2312" w:hAnsi="仿宋_GB2312" w:eastAsia="仿宋_GB2312" w:cs="仿宋_GB2312"/>
          <w:color w:val="auto"/>
          <w:kern w:val="2"/>
          <w:sz w:val="32"/>
          <w:szCs w:val="32"/>
          <w:lang w:val="en-US" w:eastAsia="zh-CN" w:bidi="ar-SA"/>
        </w:rPr>
        <w:t>掘进工作面、主井清理撒煤平巷掘进工作面、煤仓下口检修斜巷掘进工作面、抗灾排水泵房掘进工作面、外水仓掘进工作面</w:t>
      </w:r>
      <w:r>
        <w:rPr>
          <w:rFonts w:hint="eastAsia" w:ascii="仿宋_GB2312" w:hAnsi="仿宋_GB2312" w:eastAsia="仿宋_GB2312" w:cs="仿宋_GB2312"/>
          <w:color w:val="auto"/>
          <w:sz w:val="32"/>
          <w:szCs w:val="32"/>
          <w:lang w:val="en-US" w:eastAsia="zh-CN"/>
        </w:rPr>
        <w:t>加强作业地点监督检查工作。以及按照《</w:t>
      </w:r>
      <w:r>
        <w:rPr>
          <w:rFonts w:hint="eastAsia" w:ascii="仿宋_GB2312" w:hAnsi="仿宋_GB2312" w:eastAsia="仿宋_GB2312" w:cs="仿宋_GB2312"/>
          <w:color w:val="auto"/>
          <w:kern w:val="2"/>
          <w:sz w:val="32"/>
          <w:szCs w:val="24"/>
          <w:lang w:val="en-US" w:eastAsia="zh-CN" w:bidi="ar-SA"/>
        </w:rPr>
        <w:t>国家矿山安全监察局内蒙古局 内蒙古自治区能源局关于公布2024年煤矿分类调整名单的通知》，将我局所监管4座C类煤矿企业全年开展22矿次监督检查工作，进一步压实生产企业主体责任，全面排查整治各类风险隐患，坚决防范和遏制重特大事故发生，确保煤矿安全生产形势稳定。</w:t>
      </w:r>
    </w:p>
    <w:p w14:paraId="53FCC7B7">
      <w:pPr>
        <w:keepNext w:val="0"/>
        <w:keepLines w:val="0"/>
        <w:pageBreakBefore w:val="0"/>
        <w:numPr>
          <w:ilvl w:val="0"/>
          <w:numId w:val="0"/>
        </w:numPr>
        <w:kinsoku/>
        <w:overflowPunct/>
        <w:topLinePunct w:val="0"/>
        <w:autoSpaceDE/>
        <w:autoSpaceDN/>
        <w:bidi w:val="0"/>
        <w:adjustRightInd/>
        <w:snapToGrid w:val="0"/>
        <w:spacing w:beforeAutospacing="0" w:afterAutospacing="0" w:line="579" w:lineRule="exact"/>
        <w:ind w:firstLine="640" w:firstLineChars="200"/>
        <w:textAlignment w:val="auto"/>
        <w:rPr>
          <w:rFonts w:hint="default"/>
          <w:lang w:val="en-US" w:eastAsia="zh-CN"/>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工作日安排情况</w:t>
      </w:r>
    </w:p>
    <w:tbl>
      <w:tblPr>
        <w:tblStyle w:val="9"/>
        <w:tblpPr w:leftFromText="180" w:rightFromText="180" w:vertAnchor="text" w:horzAnchor="margin" w:tblpXSpec="center" w:tblpY="205"/>
        <w:tblOverlap w:val="never"/>
        <w:tblW w:w="9038"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3535"/>
        <w:gridCol w:w="2592"/>
        <w:gridCol w:w="1285"/>
      </w:tblGrid>
      <w:tr w14:paraId="66B8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26" w:type="dxa"/>
            <w:noWrap w:val="0"/>
            <w:vAlign w:val="center"/>
          </w:tcPr>
          <w:p w14:paraId="3758841B">
            <w:pPr>
              <w:keepNext w:val="0"/>
              <w:keepLines w:val="0"/>
              <w:pageBreakBefore w:val="0"/>
              <w:kinsoku/>
              <w:overflowPunct/>
              <w:topLinePunct w:val="0"/>
              <w:autoSpaceDE/>
              <w:autoSpaceDN/>
              <w:bidi w:val="0"/>
              <w:adjustRightInd/>
              <w:snapToGrid w:val="0"/>
              <w:spacing w:beforeAutospacing="0" w:afterAutospacing="0" w:line="579" w:lineRule="exact"/>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0"/>
                <w:szCs w:val="30"/>
              </w:rPr>
              <w:t>监管项目</w:t>
            </w:r>
          </w:p>
        </w:tc>
        <w:tc>
          <w:tcPr>
            <w:tcW w:w="3535" w:type="dxa"/>
            <w:noWrap w:val="0"/>
            <w:vAlign w:val="center"/>
          </w:tcPr>
          <w:p w14:paraId="1B20C4BB">
            <w:pPr>
              <w:keepNext w:val="0"/>
              <w:keepLines w:val="0"/>
              <w:pageBreakBefore w:val="0"/>
              <w:kinsoku/>
              <w:overflowPunct/>
              <w:topLinePunct w:val="0"/>
              <w:autoSpaceDE/>
              <w:autoSpaceDN/>
              <w:bidi w:val="0"/>
              <w:adjustRightInd/>
              <w:snapToGrid w:val="0"/>
              <w:spacing w:beforeAutospacing="0" w:afterAutospacing="0" w:line="579" w:lineRule="exact"/>
              <w:jc w:val="center"/>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监管对象</w:t>
            </w:r>
          </w:p>
        </w:tc>
        <w:tc>
          <w:tcPr>
            <w:tcW w:w="2592" w:type="dxa"/>
            <w:noWrap w:val="0"/>
            <w:vAlign w:val="center"/>
          </w:tcPr>
          <w:p w14:paraId="60AEF17E">
            <w:pPr>
              <w:keepNext w:val="0"/>
              <w:keepLines w:val="0"/>
              <w:pageBreakBefore w:val="0"/>
              <w:kinsoku/>
              <w:overflowPunct/>
              <w:topLinePunct w:val="0"/>
              <w:autoSpaceDE/>
              <w:autoSpaceDN/>
              <w:bidi w:val="0"/>
              <w:adjustRightInd/>
              <w:snapToGrid w:val="0"/>
              <w:spacing w:beforeAutospacing="0" w:afterAutospacing="0" w:line="579" w:lineRule="exact"/>
              <w:jc w:val="center"/>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监管人员</w:t>
            </w:r>
          </w:p>
        </w:tc>
        <w:tc>
          <w:tcPr>
            <w:tcW w:w="1285" w:type="dxa"/>
            <w:noWrap w:val="0"/>
            <w:vAlign w:val="center"/>
          </w:tcPr>
          <w:p w14:paraId="7ED0BAE5">
            <w:pPr>
              <w:keepNext w:val="0"/>
              <w:keepLines w:val="0"/>
              <w:pageBreakBefore w:val="0"/>
              <w:kinsoku/>
              <w:overflowPunct/>
              <w:topLinePunct w:val="0"/>
              <w:autoSpaceDE/>
              <w:autoSpaceDN/>
              <w:bidi w:val="0"/>
              <w:adjustRightInd/>
              <w:snapToGrid w:val="0"/>
              <w:spacing w:beforeAutospacing="0" w:afterAutospacing="0" w:line="579" w:lineRule="exact"/>
              <w:jc w:val="center"/>
              <w:textAlignment w:val="auto"/>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工作日</w:t>
            </w:r>
          </w:p>
        </w:tc>
      </w:tr>
      <w:tr w14:paraId="7CB8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626" w:type="dxa"/>
            <w:noWrap w:val="0"/>
            <w:vAlign w:val="center"/>
          </w:tcPr>
          <w:p w14:paraId="3DD23B5A">
            <w:pPr>
              <w:keepNext w:val="0"/>
              <w:keepLines w:val="0"/>
              <w:pageBreakBefore w:val="0"/>
              <w:widowControl/>
              <w:kinsoku/>
              <w:wordWrap/>
              <w:overflowPunct/>
              <w:topLinePunct w:val="0"/>
              <w:autoSpaceDE/>
              <w:autoSpaceDN/>
              <w:bidi w:val="0"/>
              <w:adjustRightInd/>
              <w:snapToGrid w:val="0"/>
              <w:spacing w:beforeAutospacing="0" w:afterAutospacing="0" w:line="579" w:lineRule="exact"/>
              <w:jc w:val="left"/>
              <w:textAlignment w:val="auto"/>
              <w:rPr>
                <w:rFonts w:hint="eastAsia" w:ascii="仿宋_GB2312" w:hAnsi="仿宋" w:eastAsia="仿宋_GB2312" w:cs="仿宋"/>
                <w:color w:val="000000"/>
                <w:sz w:val="24"/>
              </w:rPr>
            </w:pPr>
            <w:r>
              <w:rPr>
                <w:rFonts w:hint="eastAsia" w:ascii="仿宋_GB2312" w:hAnsi="仿宋" w:eastAsia="仿宋_GB2312" w:cs="仿宋"/>
                <w:color w:val="000000"/>
                <w:sz w:val="24"/>
                <w:lang w:val="en-US" w:eastAsia="zh-CN"/>
              </w:rPr>
              <w:t>煤矿及配套洗选检查</w:t>
            </w:r>
          </w:p>
        </w:tc>
        <w:tc>
          <w:tcPr>
            <w:tcW w:w="3535" w:type="dxa"/>
            <w:noWrap w:val="0"/>
            <w:vAlign w:val="center"/>
          </w:tcPr>
          <w:p w14:paraId="235857CB">
            <w:pPr>
              <w:keepNext w:val="0"/>
              <w:keepLines w:val="0"/>
              <w:pageBreakBefore w:val="0"/>
              <w:widowControl/>
              <w:kinsoku/>
              <w:wordWrap/>
              <w:overflowPunct/>
              <w:topLinePunct w:val="0"/>
              <w:autoSpaceDE/>
              <w:autoSpaceDN/>
              <w:bidi w:val="0"/>
              <w:adjustRightInd/>
              <w:snapToGrid w:val="0"/>
              <w:spacing w:beforeAutospacing="0" w:afterAutospacing="0" w:line="579" w:lineRule="exact"/>
              <w:jc w:val="left"/>
              <w:textAlignment w:val="auto"/>
              <w:rPr>
                <w:rFonts w:hint="eastAsia" w:ascii="仿宋_GB2312" w:hAnsi="仿宋" w:eastAsia="仿宋_GB2312" w:cs="仿宋"/>
                <w:color w:val="000000"/>
                <w:sz w:val="24"/>
                <w:lang w:eastAsia="zh-CN"/>
              </w:rPr>
            </w:pPr>
            <w:r>
              <w:rPr>
                <w:rFonts w:hint="eastAsia" w:ascii="仿宋_GB2312" w:hAnsi="仿宋" w:eastAsia="仿宋_GB2312" w:cs="仿宋"/>
                <w:color w:val="000000"/>
                <w:sz w:val="24"/>
                <w:lang w:val="en-US" w:eastAsia="zh-CN"/>
              </w:rPr>
              <w:t>营盘壕煤矿、巴彦高勒煤矿、白家海子煤矿、陶忽图煤矿</w:t>
            </w:r>
          </w:p>
        </w:tc>
        <w:tc>
          <w:tcPr>
            <w:tcW w:w="2592" w:type="dxa"/>
            <w:noWrap w:val="0"/>
            <w:vAlign w:val="center"/>
          </w:tcPr>
          <w:p w14:paraId="74CDB3E7">
            <w:pPr>
              <w:keepNext w:val="0"/>
              <w:keepLines w:val="0"/>
              <w:pageBreakBefore w:val="0"/>
              <w:kinsoku/>
              <w:wordWrap/>
              <w:overflowPunct/>
              <w:topLinePunct w:val="0"/>
              <w:autoSpaceDE/>
              <w:autoSpaceDN/>
              <w:bidi w:val="0"/>
              <w:adjustRightInd/>
              <w:snapToGrid w:val="0"/>
              <w:spacing w:beforeAutospacing="0" w:afterAutospacing="0" w:line="579" w:lineRule="exact"/>
              <w:jc w:val="left"/>
              <w:textAlignment w:val="auto"/>
              <w:rPr>
                <w:rFonts w:hint="eastAsia" w:ascii="仿宋_GB2312" w:hAnsi="仿宋" w:eastAsia="仿宋_GB2312" w:cs="仿宋"/>
                <w:color w:val="000000"/>
                <w:sz w:val="24"/>
                <w:lang w:val="en-US" w:eastAsia="zh-CN"/>
              </w:rPr>
            </w:pPr>
            <w:r>
              <w:rPr>
                <w:rFonts w:hint="eastAsia" w:ascii="仿宋_GB2312" w:hAnsi="仿宋" w:eastAsia="仿宋_GB2312" w:cs="仿宋"/>
                <w:color w:val="000000"/>
                <w:sz w:val="24"/>
                <w:highlight w:val="none"/>
                <w:lang w:val="en-US" w:eastAsia="zh-CN"/>
              </w:rPr>
              <w:t>赵亮、解相龙、冯博、达布拉干、李志民、杨旭、康天秀</w:t>
            </w:r>
          </w:p>
        </w:tc>
        <w:tc>
          <w:tcPr>
            <w:tcW w:w="1285" w:type="dxa"/>
            <w:noWrap w:val="0"/>
            <w:vAlign w:val="center"/>
          </w:tcPr>
          <w:p w14:paraId="1B38520B">
            <w:pPr>
              <w:keepNext w:val="0"/>
              <w:keepLines w:val="0"/>
              <w:pageBreakBefore w:val="0"/>
              <w:kinsoku/>
              <w:overflowPunct/>
              <w:topLinePunct w:val="0"/>
              <w:autoSpaceDE/>
              <w:autoSpaceDN/>
              <w:bidi w:val="0"/>
              <w:adjustRightInd/>
              <w:snapToGrid w:val="0"/>
              <w:spacing w:beforeAutospacing="0" w:afterAutospacing="0" w:line="579" w:lineRule="exact"/>
              <w:jc w:val="center"/>
              <w:textAlignment w:val="auto"/>
              <w:rPr>
                <w:rFonts w:hint="default" w:ascii="仿宋_GB2312" w:hAnsi="仿宋" w:eastAsia="仿宋_GB2312" w:cs="仿宋"/>
                <w:color w:val="000000"/>
                <w:sz w:val="24"/>
                <w:lang w:val="en-US" w:eastAsia="zh-CN"/>
              </w:rPr>
            </w:pPr>
            <w:r>
              <w:rPr>
                <w:rFonts w:hint="eastAsia" w:ascii="仿宋_GB2312" w:hAnsi="仿宋" w:eastAsia="仿宋_GB2312" w:cs="仿宋"/>
                <w:color w:val="000000"/>
                <w:sz w:val="24"/>
                <w:lang w:val="en-US" w:eastAsia="zh-CN"/>
              </w:rPr>
              <w:t>56</w:t>
            </w:r>
          </w:p>
        </w:tc>
      </w:tr>
    </w:tbl>
    <w:p w14:paraId="7EF63143">
      <w:pPr>
        <w:pStyle w:val="4"/>
        <w:rPr>
          <w:rFonts w:hint="eastAsia"/>
          <w:lang w:val="en-US" w:eastAsia="zh-CN"/>
        </w:rPr>
      </w:pPr>
    </w:p>
    <w:p w14:paraId="0DF62CF2">
      <w:pPr>
        <w:rPr>
          <w:rFonts w:hint="eastAsia"/>
          <w:lang w:val="en-US" w:eastAsia="zh-CN"/>
        </w:rPr>
      </w:pPr>
    </w:p>
    <w:p w14:paraId="641F4AA1">
      <w:pPr>
        <w:pStyle w:val="4"/>
        <w:rPr>
          <w:rFonts w:hint="eastAsia"/>
          <w:lang w:val="en-US" w:eastAsia="zh-CN"/>
        </w:rPr>
      </w:pPr>
    </w:p>
    <w:p w14:paraId="55D73893">
      <w:pPr>
        <w:rPr>
          <w:rFonts w:hint="eastAsia"/>
          <w:lang w:val="en-US" w:eastAsia="zh-CN"/>
        </w:rPr>
      </w:pPr>
    </w:p>
    <w:p w14:paraId="6AFEE516">
      <w:pPr>
        <w:pStyle w:val="4"/>
        <w:rPr>
          <w:rFonts w:hint="eastAsia"/>
          <w:lang w:val="en-US" w:eastAsia="zh-CN"/>
        </w:rPr>
      </w:pPr>
    </w:p>
    <w:p w14:paraId="7A07B0DF">
      <w:pPr>
        <w:rPr>
          <w:rFonts w:hint="eastAsia"/>
          <w:lang w:val="en-US" w:eastAsia="zh-CN"/>
        </w:rPr>
      </w:pPr>
    </w:p>
    <w:p w14:paraId="63F88557">
      <w:pPr>
        <w:pStyle w:val="2"/>
        <w:rPr>
          <w:rFonts w:hint="eastAsia"/>
          <w:lang w:val="en-US" w:eastAsia="zh-CN"/>
        </w:rPr>
      </w:pPr>
    </w:p>
    <w:p w14:paraId="519FFCCC">
      <w:pPr>
        <w:pStyle w:val="3"/>
        <w:rPr>
          <w:rFonts w:hint="eastAsia"/>
          <w:lang w:val="en-US" w:eastAsia="zh-CN"/>
        </w:rPr>
      </w:pPr>
    </w:p>
    <w:p w14:paraId="43FEBDF0">
      <w:pPr>
        <w:rPr>
          <w:rFonts w:hint="eastAsia"/>
          <w:lang w:val="en-US" w:eastAsia="zh-CN"/>
        </w:rPr>
      </w:pPr>
    </w:p>
    <w:p w14:paraId="47F0BD62">
      <w:pPr>
        <w:pStyle w:val="2"/>
        <w:rPr>
          <w:rFonts w:hint="eastAsia"/>
          <w:lang w:val="en-US" w:eastAsia="zh-CN"/>
        </w:rPr>
      </w:pPr>
    </w:p>
    <w:p w14:paraId="69A37D1F">
      <w:pPr>
        <w:pStyle w:val="3"/>
        <w:rPr>
          <w:rFonts w:hint="eastAsia"/>
          <w:lang w:val="en-US" w:eastAsia="zh-CN"/>
        </w:rPr>
      </w:pPr>
    </w:p>
    <w:p w14:paraId="4E27BBE5">
      <w:pPr>
        <w:pStyle w:val="4"/>
        <w:rPr>
          <w:rFonts w:hint="eastAsia"/>
          <w:lang w:val="en-US" w:eastAsia="zh-CN"/>
        </w:rPr>
      </w:pPr>
    </w:p>
    <w:p w14:paraId="1C1259C0">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textAlignment w:val="auto"/>
        <w:outlineLvl w:val="9"/>
        <w:rPr>
          <w:rFonts w:hint="eastAsia" w:ascii="仿宋_GB2312" w:hAnsi="仿宋_GB2312" w:eastAsia="仿宋_GB2312" w:cs="仿宋_GB2312"/>
          <w:sz w:val="28"/>
          <w:szCs w:val="28"/>
          <w:lang w:val="en-US" w:eastAsia="zh-CN"/>
        </w:rPr>
      </w:pPr>
      <w:bookmarkStart w:id="1" w:name="_GoBack"/>
      <w:bookmarkEnd w:id="1"/>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ACE24">
    <w:pPr>
      <w:pStyle w:val="5"/>
      <w:rPr>
        <w:lang w:val="en-US"/>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3C732B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宋体"/>
                              <w:sz w:val="18"/>
                              <w:lang w:eastAsia="zh-CN"/>
                            </w:rPr>
                          </w:pPr>
                          <w:r>
                            <w:rPr>
                              <w:rFonts w:hint="eastAsia"/>
                              <w:sz w:val="18"/>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sz w:val="18"/>
                              <w:lang w:eastAsia="zh-CN"/>
                            </w:rPr>
                            <w:t>—</w:t>
                          </w:r>
                        </w:p>
                      </w:txbxContent>
                    </wps:txbx>
                    <wps:bodyPr wrap="none" lIns="0" tIns="0" rIns="0" bIns="0" upright="0">
                      <a:spAutoFit/>
                    </wps:bodyPr>
                  </wps:wsp>
                </a:graphicData>
              </a:graphic>
            </wp:anchor>
          </w:drawing>
        </mc:Choice>
        <mc:Fallback>
          <w:pict>
            <v:rect id="_x0000_s1026" o:spid="_x0000_s1026" o:spt="1" style="position:absolute;left:0pt;margin-top:-0.75pt;height:144pt;width:144pt;mso-position-horizontal:outside;mso-position-horizontal-relative:margin;mso-wrap-style:none;z-index:251660288;mso-width-relative:page;mso-height-relative:page;" filled="f" stroked="f" coordsize="21600,21600" o:gfxdata="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mpD91AAAAAcBAAAPAAAAAAAAAAEAIAAAACIAAABkcnMvZG93bnJldi54bWxQSwEC&#10;FAAUAAAACACHTuJANdscoL8BAACMAwAADgAAAAAAAAABACAAAAAjAQAAZHJzL2Uyb0RvYy54bWxQ&#10;SwUGAAAAAAYABgBZAQAAVAUAAAAA&#10;">
              <v:fill on="f" focussize="0,0"/>
              <v:stroke on="f"/>
              <v:imagedata o:title=""/>
              <o:lock v:ext="edit" aspectratio="f"/>
              <v:textbox inset="0mm,0mm,0mm,0mm" style="mso-fit-shape-to-text:t;">
                <w:txbxContent>
                  <w:p w14:paraId="63C732B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宋体"/>
                        <w:sz w:val="18"/>
                        <w:lang w:eastAsia="zh-CN"/>
                      </w:rPr>
                    </w:pPr>
                    <w:r>
                      <w:rPr>
                        <w:rFonts w:hint="eastAsia"/>
                        <w:sz w:val="18"/>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sz w:val="1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999C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C7763">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3C7763">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YzczYTNiMDM0NzdhZmFiZmY2NGMwMTIyZjI1NDEifQ=="/>
    <w:docVar w:name="KSO_WPS_MARK_KEY" w:val="5b040272-9d20-4ffe-aa93-2a1e8447663d"/>
  </w:docVars>
  <w:rsids>
    <w:rsidRoot w:val="00172A27"/>
    <w:rsid w:val="015B4FE6"/>
    <w:rsid w:val="0196596C"/>
    <w:rsid w:val="02741E47"/>
    <w:rsid w:val="05744738"/>
    <w:rsid w:val="085D3FF2"/>
    <w:rsid w:val="088EFE1E"/>
    <w:rsid w:val="09BE25B6"/>
    <w:rsid w:val="0B405F96"/>
    <w:rsid w:val="0B847A6D"/>
    <w:rsid w:val="0BF9A077"/>
    <w:rsid w:val="12A33B0D"/>
    <w:rsid w:val="13C0517C"/>
    <w:rsid w:val="15AA1C40"/>
    <w:rsid w:val="16DBE1CB"/>
    <w:rsid w:val="18B01A9E"/>
    <w:rsid w:val="1BB7959C"/>
    <w:rsid w:val="1BEFFEEB"/>
    <w:rsid w:val="1C5E0369"/>
    <w:rsid w:val="1EBA1146"/>
    <w:rsid w:val="1EEF46B6"/>
    <w:rsid w:val="1F1D5E93"/>
    <w:rsid w:val="1F7F469F"/>
    <w:rsid w:val="1FB3DEA1"/>
    <w:rsid w:val="1FDB6497"/>
    <w:rsid w:val="232A2CDF"/>
    <w:rsid w:val="27FBAD40"/>
    <w:rsid w:val="28FF9D33"/>
    <w:rsid w:val="2B6F38E1"/>
    <w:rsid w:val="2D9A0A0F"/>
    <w:rsid w:val="2FFF51C1"/>
    <w:rsid w:val="354AA5A7"/>
    <w:rsid w:val="39A6259B"/>
    <w:rsid w:val="3A1800CC"/>
    <w:rsid w:val="3A3151E5"/>
    <w:rsid w:val="3AFD11FC"/>
    <w:rsid w:val="3BEF726A"/>
    <w:rsid w:val="3BFF3378"/>
    <w:rsid w:val="3CFD8793"/>
    <w:rsid w:val="3D75EA56"/>
    <w:rsid w:val="3E69F8F4"/>
    <w:rsid w:val="3EF67594"/>
    <w:rsid w:val="3EFA5323"/>
    <w:rsid w:val="3EFE2F29"/>
    <w:rsid w:val="3F76BBFF"/>
    <w:rsid w:val="3F7E5D9A"/>
    <w:rsid w:val="3F9877AE"/>
    <w:rsid w:val="3FBFBDAD"/>
    <w:rsid w:val="3FC79CB5"/>
    <w:rsid w:val="3FEA5F55"/>
    <w:rsid w:val="3FF1D9BC"/>
    <w:rsid w:val="3FFF6147"/>
    <w:rsid w:val="403D352D"/>
    <w:rsid w:val="43923B90"/>
    <w:rsid w:val="441D16AC"/>
    <w:rsid w:val="44CA7053"/>
    <w:rsid w:val="46096B22"/>
    <w:rsid w:val="47FD4AA7"/>
    <w:rsid w:val="48E761F0"/>
    <w:rsid w:val="49AE0405"/>
    <w:rsid w:val="49FF0038"/>
    <w:rsid w:val="4ADE620A"/>
    <w:rsid w:val="4BBE1F2F"/>
    <w:rsid w:val="4BEF30B8"/>
    <w:rsid w:val="4BF61160"/>
    <w:rsid w:val="4EDF3E76"/>
    <w:rsid w:val="4EF306EC"/>
    <w:rsid w:val="4EFCF29B"/>
    <w:rsid w:val="4F1D03C1"/>
    <w:rsid w:val="4FFA9F13"/>
    <w:rsid w:val="52F061DD"/>
    <w:rsid w:val="56DD1EA2"/>
    <w:rsid w:val="57F13A5A"/>
    <w:rsid w:val="57F6C265"/>
    <w:rsid w:val="57F954C9"/>
    <w:rsid w:val="57FE2F0D"/>
    <w:rsid w:val="5831188C"/>
    <w:rsid w:val="59602949"/>
    <w:rsid w:val="59EBBC8E"/>
    <w:rsid w:val="5BF789FB"/>
    <w:rsid w:val="5C3C9C30"/>
    <w:rsid w:val="5CF69E82"/>
    <w:rsid w:val="5D7CE468"/>
    <w:rsid w:val="5DF64FF0"/>
    <w:rsid w:val="5EDB3903"/>
    <w:rsid w:val="5EF78D36"/>
    <w:rsid w:val="5F3EFF94"/>
    <w:rsid w:val="5F9FA16A"/>
    <w:rsid w:val="5FB73B56"/>
    <w:rsid w:val="5FBF9323"/>
    <w:rsid w:val="5FFF15DB"/>
    <w:rsid w:val="60CC028A"/>
    <w:rsid w:val="65B8702E"/>
    <w:rsid w:val="65ED5B04"/>
    <w:rsid w:val="677AA0B3"/>
    <w:rsid w:val="677E8712"/>
    <w:rsid w:val="6A3F116B"/>
    <w:rsid w:val="6BFE88CF"/>
    <w:rsid w:val="6D4B4F7D"/>
    <w:rsid w:val="6DB72B0A"/>
    <w:rsid w:val="6DCF13B9"/>
    <w:rsid w:val="6E3F02ED"/>
    <w:rsid w:val="6F4656AB"/>
    <w:rsid w:val="6F5FE810"/>
    <w:rsid w:val="6FAF529C"/>
    <w:rsid w:val="6FDF874C"/>
    <w:rsid w:val="6FF7DF5B"/>
    <w:rsid w:val="6FFC14EF"/>
    <w:rsid w:val="6FFD4684"/>
    <w:rsid w:val="7062107E"/>
    <w:rsid w:val="71B71010"/>
    <w:rsid w:val="72A46970"/>
    <w:rsid w:val="730473F3"/>
    <w:rsid w:val="74CF6F5D"/>
    <w:rsid w:val="74DF9A84"/>
    <w:rsid w:val="750F6A53"/>
    <w:rsid w:val="754229D8"/>
    <w:rsid w:val="76A63E39"/>
    <w:rsid w:val="76ADB962"/>
    <w:rsid w:val="76C515AB"/>
    <w:rsid w:val="76FD8806"/>
    <w:rsid w:val="77DEE6FD"/>
    <w:rsid w:val="787D5B6F"/>
    <w:rsid w:val="79DF0B58"/>
    <w:rsid w:val="7A7FB8A1"/>
    <w:rsid w:val="7B3F6A57"/>
    <w:rsid w:val="7B476A33"/>
    <w:rsid w:val="7B57ECF1"/>
    <w:rsid w:val="7B76FEFB"/>
    <w:rsid w:val="7BBEF05B"/>
    <w:rsid w:val="7BCD6E11"/>
    <w:rsid w:val="7BEF935E"/>
    <w:rsid w:val="7C044924"/>
    <w:rsid w:val="7C7B5A7C"/>
    <w:rsid w:val="7CE3A3CD"/>
    <w:rsid w:val="7D5EB64D"/>
    <w:rsid w:val="7D5F94F6"/>
    <w:rsid w:val="7D8C8F55"/>
    <w:rsid w:val="7E4B683A"/>
    <w:rsid w:val="7E664191"/>
    <w:rsid w:val="7EAFE24F"/>
    <w:rsid w:val="7EB3EA81"/>
    <w:rsid w:val="7EDEC70B"/>
    <w:rsid w:val="7EEFF34F"/>
    <w:rsid w:val="7EFE306B"/>
    <w:rsid w:val="7EFF52EB"/>
    <w:rsid w:val="7F4DE48C"/>
    <w:rsid w:val="7F6FE2C2"/>
    <w:rsid w:val="7F7A6CF4"/>
    <w:rsid w:val="7FAD407C"/>
    <w:rsid w:val="7FCBDACF"/>
    <w:rsid w:val="7FCD8A81"/>
    <w:rsid w:val="7FDE233B"/>
    <w:rsid w:val="7FEB9879"/>
    <w:rsid w:val="7FEE4F67"/>
    <w:rsid w:val="7FEF6CFE"/>
    <w:rsid w:val="7FFA20D4"/>
    <w:rsid w:val="7FFBA80E"/>
    <w:rsid w:val="7FFE8946"/>
    <w:rsid w:val="7FFEFDFD"/>
    <w:rsid w:val="7FFF2361"/>
    <w:rsid w:val="7FFF3760"/>
    <w:rsid w:val="7FFF5555"/>
    <w:rsid w:val="7FFF8D74"/>
    <w:rsid w:val="7FFFD738"/>
    <w:rsid w:val="7FFFE7AF"/>
    <w:rsid w:val="8D7FB3F0"/>
    <w:rsid w:val="9B6F04A7"/>
    <w:rsid w:val="9BDFF9D9"/>
    <w:rsid w:val="9DEEC38C"/>
    <w:rsid w:val="9FFF62C8"/>
    <w:rsid w:val="A5BE7F00"/>
    <w:rsid w:val="A9B55AAF"/>
    <w:rsid w:val="ABDD7687"/>
    <w:rsid w:val="AFEED2C3"/>
    <w:rsid w:val="AFF361AC"/>
    <w:rsid w:val="B3FE6352"/>
    <w:rsid w:val="B77DF954"/>
    <w:rsid w:val="B79C8462"/>
    <w:rsid w:val="B7EFEF51"/>
    <w:rsid w:val="B9BF34E3"/>
    <w:rsid w:val="B9FF5B5A"/>
    <w:rsid w:val="BAD4B887"/>
    <w:rsid w:val="BD8E65CD"/>
    <w:rsid w:val="BDF4C038"/>
    <w:rsid w:val="BE7B6AED"/>
    <w:rsid w:val="BEFF7B37"/>
    <w:rsid w:val="BFFE92D4"/>
    <w:rsid w:val="BFFF257A"/>
    <w:rsid w:val="C3DD065C"/>
    <w:rsid w:val="CEF94B18"/>
    <w:rsid w:val="CFB62514"/>
    <w:rsid w:val="CFFE115B"/>
    <w:rsid w:val="D0FFE897"/>
    <w:rsid w:val="D3DB3139"/>
    <w:rsid w:val="D3DD2278"/>
    <w:rsid w:val="D3F1A521"/>
    <w:rsid w:val="D6BFE585"/>
    <w:rsid w:val="D770F54F"/>
    <w:rsid w:val="D7FB3795"/>
    <w:rsid w:val="DBA7852C"/>
    <w:rsid w:val="DBEE53F9"/>
    <w:rsid w:val="DBFCEEC2"/>
    <w:rsid w:val="DBFF2955"/>
    <w:rsid w:val="DCCA7A93"/>
    <w:rsid w:val="DCFABE72"/>
    <w:rsid w:val="DCFB6876"/>
    <w:rsid w:val="DD874E71"/>
    <w:rsid w:val="DEEBA2FA"/>
    <w:rsid w:val="DF9B8C53"/>
    <w:rsid w:val="DFFA0C7D"/>
    <w:rsid w:val="E1B6F359"/>
    <w:rsid w:val="E6FF3115"/>
    <w:rsid w:val="E75FFA98"/>
    <w:rsid w:val="EB6D340F"/>
    <w:rsid w:val="EBBF2340"/>
    <w:rsid w:val="EBFFA8F2"/>
    <w:rsid w:val="ED1B82C1"/>
    <w:rsid w:val="EE9F73FF"/>
    <w:rsid w:val="EEDF8102"/>
    <w:rsid w:val="EF7F0581"/>
    <w:rsid w:val="EFAF48E1"/>
    <w:rsid w:val="EFBB6EA1"/>
    <w:rsid w:val="EFBFE8A6"/>
    <w:rsid w:val="EFED1B67"/>
    <w:rsid w:val="EFFB44A3"/>
    <w:rsid w:val="F3AFD442"/>
    <w:rsid w:val="F5BB915F"/>
    <w:rsid w:val="F6672D6B"/>
    <w:rsid w:val="F7DB75BF"/>
    <w:rsid w:val="F8DB1AD8"/>
    <w:rsid w:val="FB6F272D"/>
    <w:rsid w:val="FB7F4FE8"/>
    <w:rsid w:val="FC5748F6"/>
    <w:rsid w:val="FD7F2618"/>
    <w:rsid w:val="FDB77808"/>
    <w:rsid w:val="FDEF71F5"/>
    <w:rsid w:val="FDF7C2CC"/>
    <w:rsid w:val="FEB2D776"/>
    <w:rsid w:val="FEBBA5BE"/>
    <w:rsid w:val="FEE72B58"/>
    <w:rsid w:val="FEF56A83"/>
    <w:rsid w:val="FEFBA8B0"/>
    <w:rsid w:val="FEFFB032"/>
    <w:rsid w:val="FEFFEB7B"/>
    <w:rsid w:val="FF5BFD9C"/>
    <w:rsid w:val="FF6F85BB"/>
    <w:rsid w:val="FF7BE1F3"/>
    <w:rsid w:val="FF9287F2"/>
    <w:rsid w:val="FFDF5C90"/>
    <w:rsid w:val="FFF71262"/>
    <w:rsid w:val="FFF7ABD2"/>
    <w:rsid w:val="FFFE2BA4"/>
    <w:rsid w:val="FFFF9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Indent1"/>
    <w:basedOn w:val="1"/>
    <w:next w:val="3"/>
    <w:qFormat/>
    <w:uiPriority w:val="0"/>
    <w:pPr>
      <w:spacing w:after="120" w:afterLines="0"/>
      <w:ind w:left="420"/>
    </w:pPr>
    <w:rPr>
      <w:rFonts w:ascii="Times New Roman" w:eastAsia="宋体"/>
    </w:rPr>
  </w:style>
  <w:style w:type="paragraph" w:styleId="3">
    <w:name w:val="toc 6"/>
    <w:next w:val="1"/>
    <w:qFormat/>
    <w:uiPriority w:val="0"/>
    <w:pPr>
      <w:wordWrap w:val="0"/>
      <w:ind w:left="1700"/>
      <w:jc w:val="both"/>
    </w:pPr>
    <w:rPr>
      <w:rFonts w:ascii="Times New Roman" w:hAnsi="Times New Roman" w:eastAsia="宋体" w:cs="Times New Roman"/>
      <w:sz w:val="21"/>
      <w:szCs w:val="22"/>
      <w:lang w:val="en-US" w:eastAsia="zh-CN" w:bidi="ar-SA"/>
    </w:rPr>
  </w:style>
  <w:style w:type="paragraph" w:styleId="4">
    <w:name w:val="Body Text"/>
    <w:basedOn w:val="1"/>
    <w:next w:val="1"/>
    <w:qFormat/>
    <w:uiPriority w:val="0"/>
    <w:pPr>
      <w:spacing w:after="120"/>
    </w:pPr>
  </w:style>
  <w:style w:type="paragraph" w:styleId="5">
    <w:name w:val="footer"/>
    <w:basedOn w:val="1"/>
    <w:next w:val="6"/>
    <w:qFormat/>
    <w:uiPriority w:val="0"/>
    <w:pPr>
      <w:tabs>
        <w:tab w:val="center" w:pos="4153"/>
        <w:tab w:val="right" w:pos="8306"/>
      </w:tabs>
      <w:snapToGrid w:val="0"/>
      <w:jc w:val="left"/>
    </w:pPr>
    <w:rPr>
      <w:sz w:val="18"/>
      <w:szCs w:val="18"/>
    </w:rPr>
  </w:style>
  <w:style w:type="paragraph" w:styleId="6">
    <w:name w:val="Normal (Web)"/>
    <w:basedOn w:val="1"/>
    <w:next w:val="5"/>
    <w:qFormat/>
    <w:uiPriority w:val="0"/>
    <w:pPr>
      <w:spacing w:before="100" w:beforeAutospacing="1" w:after="100" w:afterAutospacing="1"/>
      <w:ind w:left="0" w:right="0"/>
      <w:jc w:val="left"/>
    </w:pPr>
    <w:rPr>
      <w:kern w:val="0"/>
      <w:sz w:val="24"/>
      <w:lang w:val="en-US" w:eastAsia="zh-CN" w:bidi="ar"/>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line="20" w:lineRule="atLeast"/>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1396</Words>
  <Characters>1499</Characters>
  <Lines>0</Lines>
  <Paragraphs>0</Paragraphs>
  <TotalTime>0</TotalTime>
  <ScaleCrop>false</ScaleCrop>
  <LinksUpToDate>false</LinksUpToDate>
  <CharactersWithSpaces>1590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2024-08-24T10:14:00Z</dcterms:created>
  <dc:creator>乌审旗应急管理局(拟稿)</dc:creator>
  <cp:lastModifiedBy>梁川原</cp:lastModifiedBy>
  <cp:lastPrinted>2025-06-11T09:27:00Z</cp:lastPrinted>
  <dcterms:modified xsi:type="dcterms:W3CDTF">2025-06-27T10:09:19Z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A41B9F1E12C402854583D666D8219642</vt:lpwstr>
  </property>
  <property fmtid="{D5CDD505-2E9C-101B-9397-08002B2CF9AE}" pid="4" name="KSOTemplateDocerSaveRecord">
    <vt:lpwstr>eyJoZGlkIjoiMWU1NWIxYTVlMGQ0NjVkY2YyZDRiNDNjNjgxYTU3NjMiLCJ1c2VySWQiOiIzMTU1OTEyMjAifQ==</vt:lpwstr>
  </property>
</Properties>
</file>