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GoBack"/>
      <w:bookmarkEnd w:id="0"/>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乌退役军人发〔20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t>乌审旗退役军人事务局2024年度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t>包联驻村工作计划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2024年是新中国成立75周年，是实施“十四五”规划的关键一年。根据旗委、政府包联驻村总体部署，为确保包联驻村任务圆满完成，结合巴音柴达木村实际，现就乌审旗退役军人事务局2024年度包联驻村工作计划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黑体" w:hAnsi="黑体" w:eastAsia="黑体" w:cs="黑体"/>
          <w:i w:val="0"/>
          <w:iCs w:val="0"/>
          <w:caps w:val="0"/>
          <w:color w:val="000000"/>
          <w:spacing w:val="0"/>
          <w:kern w:val="0"/>
          <w:sz w:val="32"/>
          <w:szCs w:val="32"/>
          <w:shd w:val="clear" w:color="auto" w:fill="FFFFFF"/>
          <w:lang w:val="en-US" w:eastAsia="zh-CN" w:bidi="ar"/>
        </w:rPr>
        <w:t>　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以习近平新时代中国特色社会主义思想为指导，深入贯彻党的二十大和二十届二中全会精神，认真落实中央、自治区、市和我旗关于包联驻村各项决策部署，深入实施乡村振兴战略，坚持规划引领，突出产业发展，以增强包联村自我发展能力和农牧民持续稳定增收为主要任务，推动脱贫攻坚与实施乡村振兴战略有效衔接，着力把巴音柴达木村建设成乡村振兴典型示范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黑体" w:hAnsi="黑体" w:eastAsia="黑体" w:cs="黑体"/>
          <w:i w:val="0"/>
          <w:iCs w:val="0"/>
          <w:caps w:val="0"/>
          <w:color w:val="000000"/>
          <w:spacing w:val="0"/>
          <w:kern w:val="0"/>
          <w:sz w:val="32"/>
          <w:szCs w:val="32"/>
          <w:shd w:val="clear" w:color="auto" w:fill="FFFFFF"/>
          <w:lang w:val="en-US" w:eastAsia="zh-CN" w:bidi="ar"/>
        </w:rPr>
        <w:t>二、主要任务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（一）加强调查研究，当好乡村振兴的“指导员”。</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一是推动规划落实落地。</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根据村庄实用性规划，以产业体系构建为重点，围绕产业结构、产业布局、产业业态等方面进行深入调研论证，立足村庄区位条件、资源禀赋和产业基础，建立以种养殖业为支撑，以设施农业、休闲农业、乡村旅游等新兴产业为主导的产业体系，继续提升种养殖业规模化、集约化经营水平，积极推进设施农业标准化生产、品牌化经营。大力推行“党支部+企业+农牧户”、“党支部+合作社+农牧户”经营模式，发展壮大村集体经济，带动农牧户共同富裕。以垃圾污水处理、厕所革命、秸秆综合加工利用为重点，持续巩固提升人居环境综合整治水平。</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二是夯实基层组织基础。</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突出党建引领，开展机关党支部与村党支部结对共建，补齐村党支部建设短板，指导帮助村党支部深化“十星级党支部”创建，建立“不忘初心、牢记使命”制度，落实好“三会一课”、党务公开、主题党日等制度，组织开展好各类党员教育活动，完善工作机制和阵地功能，推进阵地综合服务能力。协助指导村级服务站建立健全退役军人服务保障制度机制，着力把巴音柴达木村退役军人服务站建设成全国示范型退役军人服务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　　（二）加强教育培训，当好政策理论的“宣传员”。</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一是抓好政治理论学习教育。</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协助村党支部深入开展习近平新时代中国特色社会主义思想，党的二十大和二十届二中全会精神以及中国梦、社会主义核心价值观宣传教育，坚定文化自信，提高思想素质，提升文明素质，增强国家意识、法治意识和社会责任意识，充分调动村民群众建设美好家园的积极性、主动性、创造性，实现自我管理、自我服务、自我发展。</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二是抓好政策法规宣传培训。</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重点围绕脱贫攻坚和实施乡村振兴战略，组织开展涉农涉牧政策法规解读、培训，帮助村“两委”及监委成员深入掌握理解政策，准确把握政策要求，明确发展方向目标，厘清发展思路举措，把各项工作要求落实精准、到位，把各项支农惠农政策用足、用活，确保各项工作科学有序、依法依规、有力有效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　　（三）加强协调对接，当好服务发展的“联络员”。</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一是做好与旗直部门的协调联络。</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积极与组织、宣传、财政、农牧、水利等部门对接，在村级阵地、基础设施、产业发展、集体经济、精神文明建设等方面争取项目资金支持，提供业务指导服务，解决资金、技术和管理的困难。</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二是加强与相关企业的协调联络。</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发动各方力量，积极与各类农畜产品批发市场、大型超市、仓储物流、电商平台、营销策划等企业或专业机构对接，拓宽农畜产品销售渠道，规范标准化生产，提升品牌化效应，促进专业化运营，破解生产经营散、产品销售难、组织管理乱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（四）加强走访联系，当好农牧民们的“服务员”。</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一是巩固脱贫攻坚成果。</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协助村党支部对脱贫攻坚工作开展一次全面自查，对存在返贫风险和致贫风险的农户，制定针对性预防措施，并按照“一户一策”精准落实到户帮扶措施。</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二是做好帮扶解困。</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结合日常入户走访，深入了解村民在生产生活方面的困难和需求，主动帮助协调解决。及时掌握村民的思想动态，积极做好答疑释惑。</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三是服务好辖区退役军人。</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加强辖区退役军人服务管理，建立村“两委”班子成员联系退役军人制度，常态化开展思想政治教育、关心关爱等活动，引领辖区退役军人积极主动参与村庄建设发展。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黑体" w:hAnsi="黑体" w:eastAsia="黑体" w:cs="黑体"/>
          <w:i w:val="0"/>
          <w:iCs w:val="0"/>
          <w:caps w:val="0"/>
          <w:color w:val="000000"/>
          <w:spacing w:val="0"/>
          <w:kern w:val="0"/>
          <w:sz w:val="32"/>
          <w:szCs w:val="32"/>
          <w:shd w:val="clear" w:color="auto" w:fill="FFFFFF"/>
          <w:lang w:val="en-US" w:eastAsia="zh-CN" w:bidi="ar"/>
        </w:rPr>
        <w:t>三、实施步骤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（一）安排部署（2024年2月中旬前)。</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根据旗2024年包联驻村工作总体部署要求，深入包联村开展调研，结合巴村发展总体规划和实际情况，制定包联工作计划，明确工作任务，建立工作机制。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（二）推进落实(2024年2月中旬至2020年10月中旬)。</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对照计划任务，进一步细化工作举措，建立任务清单，明确具体责任人，确定完成时限，加强工作调度，推动任务落实，及时研究解决工作推进中存在的问题。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（三）总结完善(2024年10月中旬至12 月底)。</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对年度包联驻村工作及成效进行全面总结评估，认真总结经验，查找差距不足，研究制定针对性的解决措施，进一步健全完善相关工作机制，提出下一年度工作思路。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黑体" w:hAnsi="黑体" w:eastAsia="黑体" w:cs="黑体"/>
          <w:i w:val="0"/>
          <w:iCs w:val="0"/>
          <w:caps w:val="0"/>
          <w:color w:val="000000"/>
          <w:spacing w:val="0"/>
          <w:kern w:val="0"/>
          <w:sz w:val="32"/>
          <w:szCs w:val="32"/>
          <w:shd w:val="clear" w:color="auto" w:fill="FFFFFF"/>
          <w:lang w:val="en-US" w:eastAsia="zh-CN" w:bidi="ar"/>
        </w:rPr>
        <w:t>　四、工作要求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（一）强化组织领导。</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进一步充实包联帮扶力量，完善包联工作机制。建立“单位包村、股室中心包社”帮扶工作机制，组成3个工作组，每个工作组由1名局领导和1个股室中心组成，分别联系1-2个社，与帮扶社建立定向联系制度，具体负责协调指导包联社推进落实各项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（二）加强工作调度。</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将包联驻村工作纳入局机关总体工作一体谋划部署、统筹协调推进。各工作组要定期深入包联社进行调研走访，及时掌握工作推进落实情况。办公室要发挥好牵头抓总作用，统筹协调做好包联工作。各包联股、室、中心要根据帮扶计划，具体负责做好所包联社的各项工作。驻村工作队员要做好上传下达、档案整理、协调对接、入户走访等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color="auto" w:fill="FFFFFF"/>
          <w:lang w:val="en-US" w:eastAsia="zh-CN" w:bidi="ar"/>
        </w:rPr>
        <w:t>（三）严守工作纪律。</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全体帮扶干部要严格遵守中央八项规定及其实施细则以及有关纪律规定，到包联村开展工作要轻车简从，直奔一线，不搞特殊接待，不搞层层陪同，不得给基层和群众增加负担。</w:t>
      </w:r>
    </w:p>
    <w:p>
      <w:pPr>
        <w:pStyle w:val="2"/>
        <w:keepNext w:val="0"/>
        <w:keepLines w:val="0"/>
        <w:pageBreakBefore w:val="0"/>
        <w:widowControl w:val="0"/>
        <w:kinsoku/>
        <w:wordWrap/>
        <w:overflowPunct/>
        <w:topLinePunct w:val="0"/>
        <w:autoSpaceDE/>
        <w:autoSpaceDN/>
        <w:bidi w:val="0"/>
        <w:adjustRightInd/>
        <w:snapToGrid/>
        <w:spacing w:line="579" w:lineRule="exact"/>
        <w:ind w:firstLine="3840" w:firstLineChars="1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79" w:lineRule="exact"/>
        <w:ind w:firstLine="4160" w:firstLineChars="13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2024年2月27日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default" w:eastAsia="宋体"/>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12065</wp:posOffset>
                </wp:positionH>
                <wp:positionV relativeFrom="page">
                  <wp:posOffset>9098915</wp:posOffset>
                </wp:positionV>
                <wp:extent cx="5615940" cy="368935"/>
                <wp:effectExtent l="0" t="6350" r="3810" b="24765"/>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95pt;margin-top:716.45pt;height:29.05pt;width:442.2pt;mso-position-vertical-relative:page;z-index:251660288;mso-width-relative:page;mso-height-relative:page;" coordorigin="4283,65942" coordsize="8844,581" o:gfxdata="UEsDBAoAAAAAAIdO4kAAAAAAAAAAAAAAAAAEAAAAZHJzL1BLAwQUAAAACACHTuJA3kUk3NoAAAAL&#10;AQAADwAAAGRycy9kb3ducmV2LnhtbE2PQU/DMAyF70j8h8hI3FjSFaauNJ3QBJwmJDYkxC1rvLZa&#10;41RN1m7/Hu8EJ/vZT8+fi9XZdWLEIbSeNCQzBQKp8ralWsPX7u0hAxGiIWs6T6jhggFW5e1NYXLr&#10;J/rEcRtrwSEUcqOhibHPpQxVg86Eme+ReHfwgzOR5VBLO5iJw10n50otpDMt8YXG9LhusDpuT07D&#10;+2SmlzR5HTfHw/rys3v6+N4kqPX9XaKeQUQ8xz8zXPEZHUpm2vsT2SA61ks2cnlM59yxIcsWKYj9&#10;dbRMFMiykP9/KH8BUEsDBBQAAAAIAIdO4kCwLhYvjgIAAFIHAAAOAAAAZHJzL2Uyb0RvYy54bWzt&#10;Vb2OEzEQ7pF4B8s9t/lns0pyxeUuDYKTDh7A8Xp3LflPtpNNegoqRI9EBxUlHQVPA8djMPZukiMc&#10;0umAjhSOPX+e75vx7OR0IwVaM+u4VlPcPelgxBTVOVflFL94fvEoxch5onIitGJTvGUOn84ePpjU&#10;JmM9XWmRM4sgiHJZbaa48t5kSeJoxSRxJ9owBcpCW0k8HG2Z5JbUEF2KpNfpjJJa29xYTZlzIJ03&#10;StxGtHcJqIuCUzbXdCWZ8k1UywTxAMlV3Dg8i9kWBaP+WVE45pGYYkDq4wqXwH4Z1mQ2IVlpiak4&#10;bVMgd0nhCJMkXMGl+1Bz4glaWf5LKMmp1U4X/oRqmTRAIiOAots54mZh9cpELGVWl2ZPOhTqiPV7&#10;h6VP15cW8Rw6AShRRELFrz+//PrmFQIBsFObMgOjhTVX5tK2grI5BcCbwsrwD1DQJvK63fPKNh5R&#10;EA5H3eF4APEp6PqjdNwfNsTTCqoT3Aa9tI8RaEdg2Nspz1v/NB0MGudh2g3K5HAvi0V+4nwQh2T3&#10;udUGGtQdWHN/xtpVRQyLxXCBkJY1eCwtaW8/fXv9/vuXd7Bef/yA0pBnSAFsz1TLnMsckHgLbQf8&#10;o2Gn3+DfsXdA34sVuQHeWOcXTEsUNlMsuAoZkoysW0JItjMJYqFQDYXuPe6EWhB4vAU8GthKAw3g&#10;VBmdnRY8v+BCBBdny+WZsGhNwgOKv7YAP5mFW+bEVY1dVDUgKkbyc5UjvzXQWQomCg45SJZjJBgM&#10;oLADpkjmCRd3sQT4QgWHo8rvuA2cL3W+hQKtjOVlBcQ0TdM2RFOWf94Z4991xjjgvUdnHF7G/864&#10;tYf+QmfECQKjNo6Y9rMQZvnNc5wzh0/h7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eRSTc2gAA&#10;AAsBAAAPAAAAAAAAAAEAIAAAACIAAABkcnMvZG93bnJldi54bWxQSwECFAAUAAAACACHTuJAsC4W&#10;L44CAABSBwAADgAAAAAAAAABACAAAAApAQAAZHJzL2Uyb0RvYy54bWxQSwUGAAAAAAYABgBZAQAA&#10;KQY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TQwMDA4NWYzZjNkMmFjNDc0N2FlNDIzYzU0YWIifQ=="/>
  </w:docVars>
  <w:rsids>
    <w:rsidRoot w:val="71303407"/>
    <w:rsid w:val="02660422"/>
    <w:rsid w:val="068D34CF"/>
    <w:rsid w:val="0A990544"/>
    <w:rsid w:val="0CE06421"/>
    <w:rsid w:val="128D6AF3"/>
    <w:rsid w:val="22E16B65"/>
    <w:rsid w:val="320B2CED"/>
    <w:rsid w:val="351C4565"/>
    <w:rsid w:val="384A2653"/>
    <w:rsid w:val="3BF511EF"/>
    <w:rsid w:val="3CE15947"/>
    <w:rsid w:val="546E7545"/>
    <w:rsid w:val="5D156B99"/>
    <w:rsid w:val="6A472234"/>
    <w:rsid w:val="6A8655ED"/>
    <w:rsid w:val="71303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4180;&#36164;&#26009;\&#20044;&#36864;&#24441;&#20891;&#20154;&#21457;\&#20044;&#36864;&#24441;&#20891;&#20154;&#21457;.wpt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乌退役军人发.wpt2023.wpt</Template>
  <Pages>2</Pages>
  <Words>57</Words>
  <Characters>66</Characters>
  <Lines>0</Lines>
  <Paragraphs>0</Paragraphs>
  <TotalTime>10</TotalTime>
  <ScaleCrop>false</ScaleCrop>
  <LinksUpToDate>false</LinksUpToDate>
  <CharactersWithSpaces>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2024-02-27T00:47:00Z</dcterms:created>
  <dc:creator>WPS_1505722532</dc:creator>
  <cp:lastModifiedBy>a</cp:lastModifiedBy>
  <cp:lastPrinted>2024-02-27T03:02:00Z</cp:lastPrinted>
  <dcterms:modified xsi:type="dcterms:W3CDTF">2024-02-27T03:06:59Z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52E5E68ABA0F4C0FB87771329C1C431B_13</vt:lpwstr>
  </property>
</Properties>
</file>