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2"/>
        <w:keepNext w:val="0"/>
        <w:keepLines w:val="0"/>
        <w:pageBreakBefore w:val="0"/>
        <w:wordWrap/>
        <w:overflowPunct/>
        <w:topLinePunct w:val="0"/>
        <w:bidi w:val="0"/>
        <w:spacing w:after="0" w:line="579"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乌审旗政务服务中心服务企业专区</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进驻部门绩效考核管理办法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为进一步加强和规范乌审旗政务服务中心服务企业专区管理工作，提升工作人员服务质量和水平，现结合实际，制定本考核办法。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一、考核原则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绩效考核工作坚持实事求是、客观公正、注重实绩的原则，定量与定性相结合的原则，激励先进、鞭策后进相结合的原则。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二、考核对象及内容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主要考核旗政务服务中心服务企业专区进驻部门，包括旗政务服务局、市场监督管理局、住房和城乡建设局(公积金中心)、人力资源和社会保障局、医疗保障局、税务局。考核主要包括工作实效和服务质量、作风建设、人员管理、协调配合等内容，具体见考核细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三、考核组织机构</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乌审旗政务服务中心服务企业、代办帮办服务专区管理协调小组承担考核工作，主要负责制定绩效考核管理办法和绩效考核细则以及具体组织实施工作。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四、考核方式</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旗政务服务中心服务企业专区进驻部门考核分为平时考核</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和年度考核，平时考核采用日常调度检查、季度考评方式进行。</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日常调度检查。</w:t>
      </w:r>
      <w:r>
        <w:rPr>
          <w:rFonts w:hint="eastAsia" w:ascii="仿宋_GB2312" w:hAnsi="仿宋_GB2312" w:eastAsia="仿宋_GB2312" w:cs="仿宋_GB2312"/>
          <w:sz w:val="32"/>
          <w:szCs w:val="32"/>
        </w:rPr>
        <w:t>服务企业、代办帮办服务专区管理协调小组结合工作实际，建立完善日常调度检查工作机制，及时掌握了解进驻部门工作情况。</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季度考评。</w:t>
      </w:r>
      <w:r>
        <w:rPr>
          <w:rFonts w:hint="eastAsia" w:ascii="仿宋_GB2312" w:hAnsi="仿宋_GB2312" w:eastAsia="仿宋_GB2312" w:cs="仿宋_GB2312"/>
          <w:sz w:val="32"/>
          <w:szCs w:val="32"/>
        </w:rPr>
        <w:t>实行百分制量化考核评价，每季度末，考核小组对考核指标进行赋分、汇总、排名，并在一定范围内公示，公示时间不少于3个工作日。</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年度考核。</w:t>
      </w:r>
      <w:r>
        <w:rPr>
          <w:rFonts w:hint="eastAsia" w:ascii="仿宋_GB2312" w:hAnsi="仿宋_GB2312" w:eastAsia="仿宋_GB2312" w:cs="仿宋_GB2312"/>
          <w:sz w:val="32"/>
          <w:szCs w:val="32"/>
        </w:rPr>
        <w:t>年度考核结果为季度考评成绩的平均分(当年累计季度考评总成绩/累计考核季度)。</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五、其他事宜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进驻部门工作人员日常管理检查情况纳入部门考核</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中人员管理部分，不制定具体考核细则。</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前台工作人员考核按照《乌审旗政务服务中心“综合一窗受理”工作人员绩效考核管理办法》执行，确定绩效。</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本办法自印发之日起执行。</w:t>
      </w:r>
    </w:p>
    <w:p>
      <w:pPr>
        <w:keepNext w:val="0"/>
        <w:keepLines w:val="0"/>
        <w:pageBreakBefore w:val="0"/>
        <w:wordWrap/>
        <w:overflowPunct/>
        <w:topLinePunct w:val="0"/>
        <w:bidi w:val="0"/>
        <w:spacing w:line="579" w:lineRule="exact"/>
        <w:rPr>
          <w:rFonts w:ascii="Arial"/>
          <w:sz w:val="21"/>
        </w:rPr>
      </w:pPr>
    </w:p>
    <w:p>
      <w:pPr>
        <w:keepNext w:val="0"/>
        <w:keepLines w:val="0"/>
        <w:pageBreakBefore w:val="0"/>
        <w:wordWrap/>
        <w:overflowPunct/>
        <w:topLinePunct w:val="0"/>
        <w:bidi w:val="0"/>
        <w:spacing w:line="579" w:lineRule="exact"/>
        <w:rPr>
          <w:rFonts w:ascii="Arial"/>
          <w:sz w:val="21"/>
        </w:rPr>
      </w:pPr>
    </w:p>
    <w:p>
      <w:pPr>
        <w:keepNext w:val="0"/>
        <w:keepLines w:val="0"/>
        <w:pageBreakBefore w:val="0"/>
        <w:wordWrap/>
        <w:overflowPunct/>
        <w:topLinePunct w:val="0"/>
        <w:bidi w:val="0"/>
        <w:spacing w:line="579" w:lineRule="exact"/>
        <w:rPr>
          <w:rFonts w:ascii="Arial"/>
          <w:sz w:val="21"/>
        </w:rPr>
      </w:pPr>
    </w:p>
    <w:p>
      <w:pPr>
        <w:keepNext w:val="0"/>
        <w:keepLines w:val="0"/>
        <w:pageBreakBefore w:val="0"/>
        <w:wordWrap/>
        <w:overflowPunct/>
        <w:topLinePunct w:val="0"/>
        <w:bidi w:val="0"/>
        <w:spacing w:line="579" w:lineRule="exact"/>
        <w:rPr>
          <w:rFonts w:ascii="Arial"/>
          <w:sz w:val="21"/>
        </w:rPr>
      </w:pPr>
    </w:p>
    <w:p>
      <w:pPr>
        <w:pStyle w:val="2"/>
        <w:keepNext w:val="0"/>
        <w:keepLines w:val="0"/>
        <w:pageBreakBefore w:val="0"/>
        <w:wordWrap/>
        <w:overflowPunct/>
        <w:topLinePunct w:val="0"/>
        <w:bidi w:val="0"/>
        <w:spacing w:after="0" w:line="579" w:lineRule="exact"/>
      </w:pPr>
    </w:p>
    <w:p>
      <w:pPr>
        <w:pStyle w:val="2"/>
        <w:keepNext w:val="0"/>
        <w:keepLines w:val="0"/>
        <w:pageBreakBefore w:val="0"/>
        <w:wordWrap/>
        <w:overflowPunct/>
        <w:topLinePunct w:val="0"/>
        <w:bidi w:val="0"/>
        <w:spacing w:after="0" w:line="579" w:lineRule="exact"/>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pacing w:val="5"/>
          <w:sz w:val="44"/>
          <w:szCs w:val="44"/>
        </w:rPr>
      </w:pPr>
      <w:r>
        <w:rPr>
          <w:rFonts w:hint="eastAsia" w:ascii="方正小标宋_GBK" w:hAnsi="方正小标宋_GBK" w:eastAsia="方正小标宋_GBK" w:cs="方正小标宋_GBK"/>
          <w:b w:val="0"/>
          <w:bCs w:val="0"/>
          <w:spacing w:val="5"/>
          <w:sz w:val="44"/>
          <w:szCs w:val="44"/>
          <w:lang w:val="en-US" w:eastAsia="zh-CN"/>
        </w:rPr>
        <w:t>乌审旗</w:t>
      </w:r>
      <w:r>
        <w:rPr>
          <w:rFonts w:hint="eastAsia" w:ascii="方正小标宋_GBK" w:hAnsi="方正小标宋_GBK" w:eastAsia="方正小标宋_GBK" w:cs="方正小标宋_GBK"/>
          <w:b w:val="0"/>
          <w:bCs w:val="0"/>
          <w:spacing w:val="5"/>
          <w:sz w:val="44"/>
          <w:szCs w:val="44"/>
        </w:rPr>
        <w:t>政务服务中心服务企业专区</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5"/>
          <w:sz w:val="44"/>
          <w:szCs w:val="44"/>
        </w:rPr>
        <w:t>进驻部门考核细则</w:t>
      </w:r>
    </w:p>
    <w:p>
      <w:pPr>
        <w:keepNext w:val="0"/>
        <w:keepLines w:val="0"/>
        <w:pageBreakBefore w:val="0"/>
        <w:kinsoku/>
        <w:wordWrap/>
        <w:overflowPunct/>
        <w:topLinePunct w:val="0"/>
        <w:autoSpaceDE/>
        <w:autoSpaceDN/>
        <w:bidi w:val="0"/>
        <w:adjustRightInd/>
        <w:snapToGrid/>
        <w:spacing w:line="579" w:lineRule="exact"/>
        <w:textAlignment w:val="auto"/>
      </w:pPr>
    </w:p>
    <w:tbl>
      <w:tblPr>
        <w:tblStyle w:val="6"/>
        <w:tblW w:w="89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639"/>
        <w:gridCol w:w="6383"/>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9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8"/>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5"/>
                <w:sz w:val="24"/>
                <w:szCs w:val="24"/>
              </w:rPr>
              <w:t>考核指标</w:t>
            </w:r>
          </w:p>
        </w:tc>
        <w:tc>
          <w:tcPr>
            <w:tcW w:w="63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84"/>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6"/>
                <w:sz w:val="24"/>
                <w:szCs w:val="24"/>
              </w:rPr>
              <w:t>分值</w:t>
            </w: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265"/>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4"/>
                <w:sz w:val="24"/>
                <w:szCs w:val="24"/>
              </w:rPr>
              <w:t>考核指标评分标准</w:t>
            </w:r>
          </w:p>
        </w:tc>
        <w:tc>
          <w:tcPr>
            <w:tcW w:w="89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331" w:right="99" w:hanging="229"/>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6"/>
                <w:sz w:val="24"/>
                <w:szCs w:val="24"/>
              </w:rPr>
              <w:t>评价机</w:t>
            </w:r>
            <w:r>
              <w:rPr>
                <w:rFonts w:hint="eastAsia" w:ascii="仿宋_GB2312" w:hAnsi="仿宋_GB2312" w:eastAsia="仿宋_GB2312" w:cs="仿宋_GB2312"/>
                <w:spacing w:val="1"/>
                <w:sz w:val="24"/>
                <w:szCs w:val="24"/>
              </w:rPr>
              <w:t xml:space="preserve"> </w:t>
            </w:r>
            <w:r>
              <w:rPr>
                <w:rFonts w:hint="eastAsia" w:ascii="仿宋_GB2312" w:hAnsi="仿宋_GB2312" w:eastAsia="仿宋_GB2312" w:cs="仿宋_GB2312"/>
                <w:b/>
                <w:bCs/>
                <w:spacing w:val="-3"/>
                <w:sz w:val="24"/>
                <w:szCs w:val="24"/>
              </w:rPr>
              <w:t>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994" w:type="dxa"/>
            <w:vMerge w:val="restart"/>
            <w:tcBorders>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28"/>
              <w:textAlignment w:val="auto"/>
              <w:rPr>
                <w:rFonts w:hint="eastAsia" w:ascii="仿宋_GB2312" w:hAnsi="仿宋_GB2312" w:eastAsia="仿宋_GB2312" w:cs="仿宋_GB2312"/>
                <w:b/>
                <w:bCs/>
                <w:spacing w:val="-5"/>
                <w:sz w:val="24"/>
                <w:szCs w:val="24"/>
              </w:rPr>
            </w:pPr>
            <w:r>
              <w:rPr>
                <w:rFonts w:hint="eastAsia" w:ascii="仿宋_GB2312" w:hAnsi="仿宋_GB2312" w:eastAsia="仿宋_GB2312" w:cs="仿宋_GB2312"/>
                <w:b/>
                <w:bCs/>
                <w:spacing w:val="-5"/>
                <w:sz w:val="24"/>
                <w:szCs w:val="24"/>
              </w:rPr>
              <w:t>工作实效</w:t>
            </w:r>
          </w:p>
          <w:p>
            <w:pPr>
              <w:keepNext w:val="0"/>
              <w:keepLines w:val="0"/>
              <w:pageBreakBefore w:val="0"/>
              <w:widowControl w:val="0"/>
              <w:kinsoku/>
              <w:wordWrap/>
              <w:overflowPunct/>
              <w:topLinePunct w:val="0"/>
              <w:autoSpaceDE/>
              <w:autoSpaceDN/>
              <w:bidi w:val="0"/>
              <w:adjustRightInd/>
              <w:snapToGrid/>
              <w:spacing w:line="400" w:lineRule="exact"/>
              <w:ind w:left="28"/>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5"/>
                <w:sz w:val="24"/>
                <w:szCs w:val="24"/>
              </w:rPr>
              <w:t>和服</w:t>
            </w:r>
            <w:r>
              <w:rPr>
                <w:rFonts w:hint="eastAsia" w:ascii="仿宋_GB2312" w:hAnsi="仿宋_GB2312" w:eastAsia="仿宋_GB2312" w:cs="仿宋_GB2312"/>
                <w:b/>
                <w:bCs/>
                <w:spacing w:val="-5"/>
                <w:sz w:val="24"/>
                <w:szCs w:val="24"/>
                <w:lang w:val="en-US" w:eastAsia="zh-CN"/>
              </w:rPr>
              <w:t>务质</w:t>
            </w:r>
            <w:r>
              <w:rPr>
                <w:rFonts w:hint="eastAsia" w:ascii="仿宋_GB2312" w:hAnsi="仿宋_GB2312" w:eastAsia="仿宋_GB2312" w:cs="仿宋_GB2312"/>
                <w:b/>
                <w:bCs/>
                <w:spacing w:val="-5"/>
                <w:sz w:val="24"/>
                <w:szCs w:val="24"/>
              </w:rPr>
              <w:t>量</w:t>
            </w:r>
          </w:p>
        </w:tc>
        <w:tc>
          <w:tcPr>
            <w:tcW w:w="639" w:type="dxa"/>
            <w:vMerge w:val="restart"/>
            <w:tcBorders>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left="24"/>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40分</w:t>
            </w: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1.办事指南不准确或审查要点不明确，导致服务企业专区窗口 工作人员无法精准受理业务的，每次扣2分。</w:t>
            </w:r>
          </w:p>
        </w:tc>
        <w:tc>
          <w:tcPr>
            <w:tcW w:w="894" w:type="dxa"/>
            <w:vMerge w:val="restart"/>
            <w:tcBorders>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left="99"/>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1"/>
                <w:kern w:val="2"/>
                <w:sz w:val="24"/>
                <w:szCs w:val="24"/>
                <w:lang w:val="en-US" w:eastAsia="zh-CN" w:bidi="ar-SA"/>
              </w:rPr>
              <w:t>乌审旗政务服务中心服务企业、代办帮办服务专区管理协调小</w:t>
            </w:r>
            <w:r>
              <w:rPr>
                <w:rFonts w:hint="eastAsia" w:ascii="仿宋_GB2312" w:hAnsi="仿宋_GB2312" w:eastAsia="仿宋_GB2312" w:cs="仿宋_GB2312"/>
                <w:b/>
                <w:bCs/>
                <w:spacing w:val="4"/>
                <w:sz w:val="24"/>
                <w:szCs w:val="24"/>
              </w:rPr>
              <w:t>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9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639"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57" w:right="85" w:hanging="17"/>
              <w:jc w:val="left"/>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2.审批部门工作人员要从本部门业务“专一手”转变为业务“全能手”,如出现审批部门工作人员无法正常解答或办理业务，引起群众和企业不满的，每次扣2分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9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639"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12"/>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3.审批部门工作人员指引办事群众去后台审批区或私自接件办理业务的，每发现一次扣5分。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639"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2"/>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4.审批部门工作人员要求办事群众线上提交申请，拒绝线下窗口受理业务的，每发现一次扣5分。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639"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2"/>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5.审批部门不配合电子证照调用工作的，每发现一次扣2分。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994" w:type="dxa"/>
            <w:vMerge w:val="continue"/>
            <w:tcBorders>
              <w:top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639" w:type="dxa"/>
            <w:vMerge w:val="continue"/>
            <w:tcBorders>
              <w:top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61" w:right="151" w:hanging="39"/>
              <w:jc w:val="both"/>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6.办理结果应当通过“综合出件窗口”统一出件，在窗口直接出件的，每发现一次扣2分；未及时将办理结果送达到出件窗口的，每次扣2分。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99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8"/>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5"/>
                <w:sz w:val="24"/>
                <w:szCs w:val="24"/>
              </w:rPr>
              <w:t>作风建设</w:t>
            </w:r>
          </w:p>
        </w:tc>
        <w:tc>
          <w:tcPr>
            <w:tcW w:w="63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81"/>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10分</w:t>
            </w: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12"/>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7.被“12345”“办不成事”</w:t>
            </w:r>
            <w:r>
              <w:rPr>
                <w:rFonts w:hint="eastAsia" w:ascii="仿宋_GB2312" w:hAnsi="仿宋_GB2312" w:eastAsia="仿宋_GB2312" w:cs="仿宋_GB2312"/>
                <w:spacing w:val="1"/>
                <w:sz w:val="24"/>
                <w:szCs w:val="24"/>
                <w:lang w:val="en-US" w:eastAsia="zh-CN"/>
              </w:rPr>
              <w:t>反映</w:t>
            </w:r>
            <w:r>
              <w:rPr>
                <w:rFonts w:hint="eastAsia" w:ascii="仿宋_GB2312" w:hAnsi="仿宋_GB2312" w:eastAsia="仿宋_GB2312" w:cs="仿宋_GB2312"/>
                <w:spacing w:val="1"/>
                <w:sz w:val="24"/>
                <w:szCs w:val="24"/>
              </w:rPr>
              <w:t>窗口、意见箱等渠道投诉，经核查属实，每次扣5分。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4"/>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5"/>
                <w:sz w:val="24"/>
                <w:szCs w:val="24"/>
              </w:rPr>
              <w:t>人员管理</w:t>
            </w:r>
          </w:p>
        </w:tc>
        <w:tc>
          <w:tcPr>
            <w:tcW w:w="63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12"/>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40分</w:t>
            </w: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12"/>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8.进驻部门工作人员考核得分折合后作为本项分。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994" w:type="dxa"/>
            <w:vMerge w:val="restart"/>
            <w:tcBorders>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24"/>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pacing w:val="-5"/>
                <w:sz w:val="24"/>
                <w:szCs w:val="24"/>
              </w:rPr>
              <w:t>协调配合</w:t>
            </w:r>
          </w:p>
        </w:tc>
        <w:tc>
          <w:tcPr>
            <w:tcW w:w="639" w:type="dxa"/>
            <w:vMerge w:val="restart"/>
            <w:tcBorders>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left="81"/>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10分</w:t>
            </w: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2"/>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9.进驻部门应当配合协调管理小组加强对服务企业专区窗口，工作人员的业务培训，推诿不配合的每次扣3分。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639"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2"/>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10.未按要求报送统计数据或有关材料的，每次扣3分。</w:t>
            </w:r>
          </w:p>
        </w:tc>
        <w:tc>
          <w:tcPr>
            <w:tcW w:w="894" w:type="dxa"/>
            <w:vMerge w:val="continue"/>
            <w:tcBorders>
              <w:top w:val="nil"/>
              <w:bottom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994" w:type="dxa"/>
            <w:vMerge w:val="continue"/>
            <w:tcBorders>
              <w:top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c>
          <w:tcPr>
            <w:tcW w:w="639" w:type="dxa"/>
            <w:vMerge w:val="continue"/>
            <w:tcBorders>
              <w:top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1"/>
                <w:kern w:val="2"/>
                <w:sz w:val="24"/>
                <w:szCs w:val="24"/>
                <w:lang w:val="en-US" w:eastAsia="zh-CN" w:bidi="ar-SA"/>
              </w:rPr>
            </w:pPr>
          </w:p>
        </w:tc>
        <w:tc>
          <w:tcPr>
            <w:tcW w:w="638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5"/>
              <w:jc w:val="both"/>
              <w:textAlignment w:val="auto"/>
              <w:rPr>
                <w:rFonts w:hint="eastAsia" w:ascii="仿宋_GB2312" w:hAnsi="仿宋_GB2312" w:eastAsia="仿宋_GB2312" w:cs="仿宋_GB2312"/>
                <w:spacing w:val="1"/>
                <w:kern w:val="2"/>
                <w:sz w:val="24"/>
                <w:szCs w:val="24"/>
                <w:lang w:val="en-US" w:eastAsia="zh-CN" w:bidi="ar-SA"/>
              </w:rPr>
            </w:pPr>
            <w:r>
              <w:rPr>
                <w:rFonts w:hint="eastAsia" w:ascii="仿宋_GB2312" w:hAnsi="仿宋_GB2312" w:eastAsia="仿宋_GB2312" w:cs="仿宋_GB2312"/>
                <w:spacing w:val="1"/>
                <w:kern w:val="2"/>
                <w:sz w:val="24"/>
                <w:szCs w:val="24"/>
                <w:lang w:val="en-US" w:eastAsia="zh-CN" w:bidi="ar-SA"/>
              </w:rPr>
              <w:t>11.未按要求参加旗政务服务中心组织的会议、培训、活动等，每次扣2分。</w:t>
            </w:r>
          </w:p>
        </w:tc>
        <w:tc>
          <w:tcPr>
            <w:tcW w:w="894" w:type="dxa"/>
            <w:vMerge w:val="continue"/>
            <w:tcBorders>
              <w:top w:val="nil"/>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tc>
      </w:tr>
    </w:tbl>
    <w:p>
      <w:pPr>
        <w:pStyle w:val="2"/>
        <w:keepNext w:val="0"/>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both"/>
        <w:textAlignment w:val="auto"/>
        <w:outlineLvl w:val="9"/>
        <w:rPr>
          <w:rFonts w:hint="default" w:ascii="宋体" w:hAnsi="宋体" w:eastAsia="宋体" w:cs="宋体"/>
          <w:i w:val="0"/>
          <w:iCs w:val="0"/>
          <w:color w:val="auto"/>
          <w:kern w:val="0"/>
          <w:sz w:val="24"/>
          <w:szCs w:val="24"/>
          <w:u w:val="none"/>
          <w:lang w:val="en-US" w:eastAsia="zh-CN" w:bidi="ar"/>
        </w:rPr>
      </w:pPr>
    </w:p>
    <w:p>
      <w:bookmarkStart w:id="0" w:name="_GoBack"/>
      <w:bookmarkEnd w:id="0"/>
    </w:p>
    <w:sectPr>
      <w:footerReference r:id="rId3" w:type="default"/>
      <w:footerReference r:id="rId4" w:type="even"/>
      <w:pgSz w:w="11906" w:h="16838"/>
      <w:pgMar w:top="2098" w:right="1474" w:bottom="1984" w:left="1587" w:header="851" w:footer="1417" w:gutter="0"/>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-67310</wp:posOffset>
              </wp:positionV>
              <wp:extent cx="10591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5918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  </w:t>
                          </w:r>
                        </w:p>
                      </w:txbxContent>
                    </wps:txbx>
                    <wps:bodyPr lIns="0" tIns="0" rIns="0" bIns="0" upright="0">
                      <a:spAutoFit/>
                    </wps:bodyPr>
                  </wps:wsp>
                </a:graphicData>
              </a:graphic>
            </wp:anchor>
          </w:drawing>
        </mc:Choice>
        <mc:Fallback>
          <w:pict>
            <v:shape id="_x0000_s1026" o:spid="_x0000_s1026" o:spt="202" type="#_x0000_t202" style="position:absolute;left:0pt;margin-top:-5.3pt;height:144pt;width:83.4pt;mso-position-horizontal:outside;mso-position-horizontal-relative:margin;z-index:251659264;mso-width-relative:page;mso-height-relative:page;" filled="f" stroked="f" coordsize="21600,21600" o:gfxdata="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5pHdLVAAAACAEAAA8AAAAAAAAAAQAgAAAAIgAAAGRycy9kb3ducmV2&#10;LnhtbFBLAQIUABQAAAAIAIdO4kA3eptzxgEAAI0DAAAOAAAAAAAAAAEAIAAAACQBAABkcnMvZTJv&#10;RG9jLnhtbFBLBQYAAAAABgAGAFkBAABcBQ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BC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黑体"/>
      <w:kern w:val="2"/>
      <w:sz w:val="21"/>
      <w:szCs w:val="24"/>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2023-11-29T08:54:39Z</dcterms:created>
  <dc:creator>111</dc:creator>
  <cp:lastModifiedBy>111</cp:lastModifiedBy>
  <dcterms:modified xsi:type="dcterms:W3CDTF">2023-11-29T08:55:15Z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ABC7D3AAB4234521A1ACB53F14EE7D6D</vt:lpwstr>
  </property>
</Properties>
</file>