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0"/>
        <w:widowControl/>
      </w:pPr>
      <w:r>
        <w:t xml:space="preserve"> </w:t>
      </w:r>
    </w:p>
    <w:p>
      <w:pPr>
        <w:widowControl w:val="0"/>
        <w:wordWrap/>
        <w:adjustRightInd/>
        <w:snapToGrid/>
        <w:spacing w:before="184" w:line="214" w:lineRule="auto"/>
        <w:ind w:left="584" w:right="11" w:hanging="567"/>
        <w:jc w:val="center"/>
        <w:textAlignment w:val="auto"/>
        <w:rPr>
          <w:rFonts w:ascii="微软雅黑" w:hAnsi="微软雅黑" w:eastAsia="微软雅黑" w:cs="微软雅黑"/>
          <w:spacing w:val="6"/>
          <w:sz w:val="43"/>
          <w:szCs w:val="43"/>
        </w:rPr>
      </w:pPr>
      <w:r>
        <w:rPr>
          <w:rFonts w:ascii="微软雅黑" w:hAnsi="微软雅黑" w:eastAsia="微软雅黑" w:cs="微软雅黑"/>
          <w:spacing w:val="12"/>
          <w:sz w:val="43"/>
          <w:szCs w:val="43"/>
        </w:rPr>
        <w:t>20</w:t>
      </w:r>
      <w:r>
        <w:rPr>
          <w:rFonts w:ascii="微软雅黑" w:hAnsi="微软雅黑" w:eastAsia="微软雅黑" w:cs="微软雅黑"/>
          <w:spacing w:val="6"/>
          <w:sz w:val="43"/>
          <w:szCs w:val="43"/>
        </w:rPr>
        <w:t>2</w:t>
      </w:r>
      <w:r>
        <w:rPr>
          <w:rFonts w:hint="eastAsia" w:ascii="微软雅黑" w:hAnsi="微软雅黑" w:eastAsia="微软雅黑" w:cs="微软雅黑"/>
          <w:spacing w:val="6"/>
          <w:sz w:val="43"/>
          <w:szCs w:val="43"/>
          <w:lang w:val="en-US" w:eastAsia="zh-CN"/>
        </w:rPr>
        <w:t>2</w:t>
      </w:r>
      <w:r>
        <w:rPr>
          <w:rFonts w:ascii="微软雅黑" w:hAnsi="微软雅黑" w:eastAsia="微软雅黑" w:cs="微软雅黑"/>
          <w:spacing w:val="6"/>
          <w:sz w:val="43"/>
          <w:szCs w:val="43"/>
        </w:rPr>
        <w:t>年度</w:t>
      </w:r>
      <w:r>
        <w:rPr>
          <w:rFonts w:hint="eastAsia" w:ascii="微软雅黑" w:hAnsi="微软雅黑" w:eastAsia="微软雅黑" w:cs="微软雅黑"/>
          <w:spacing w:val="6"/>
          <w:sz w:val="43"/>
          <w:szCs w:val="43"/>
          <w:lang w:val="en-US" w:eastAsia="zh-CN"/>
        </w:rPr>
        <w:t>乌审旗图克镇五件</w:t>
      </w:r>
      <w:r>
        <w:rPr>
          <w:rFonts w:ascii="微软雅黑" w:hAnsi="微软雅黑" w:eastAsia="微软雅黑" w:cs="微软雅黑"/>
          <w:spacing w:val="6"/>
          <w:sz w:val="43"/>
          <w:szCs w:val="43"/>
        </w:rPr>
        <w:t>民生实事</w:t>
      </w:r>
    </w:p>
    <w:p>
      <w:pPr>
        <w:widowControl w:val="0"/>
        <w:wordWrap/>
        <w:adjustRightInd/>
        <w:snapToGrid/>
        <w:spacing w:before="184" w:line="214" w:lineRule="auto"/>
        <w:ind w:left="584" w:right="11" w:hanging="567"/>
        <w:jc w:val="center"/>
        <w:textAlignment w:val="auto"/>
        <w:outlineLvl w:val="0"/>
        <w:rPr>
          <w:rFonts w:hint="default" w:ascii="微软雅黑" w:hAnsi="微软雅黑" w:eastAsia="微软雅黑" w:cs="微软雅黑"/>
          <w:spacing w:val="6"/>
          <w:sz w:val="43"/>
          <w:szCs w:val="43"/>
          <w:lang w:val="en-US" w:eastAsia="zh-CN"/>
        </w:rPr>
      </w:pPr>
      <w:bookmarkStart w:id="0" w:name="_Toc13306"/>
      <w:bookmarkStart w:id="1" w:name="_Toc26394"/>
      <w:bookmarkStart w:id="2" w:name="_Toc767"/>
      <w:r>
        <w:rPr>
          <w:rFonts w:hint="eastAsia" w:ascii="微软雅黑" w:hAnsi="微软雅黑" w:eastAsia="微软雅黑" w:cs="微软雅黑"/>
          <w:spacing w:val="6"/>
          <w:sz w:val="43"/>
          <w:szCs w:val="43"/>
          <w:lang w:val="en-US" w:eastAsia="zh-CN"/>
        </w:rPr>
        <w:t>人大代表票决制</w:t>
      </w:r>
      <w:r>
        <w:rPr>
          <w:rFonts w:ascii="微软雅黑" w:hAnsi="微软雅黑" w:eastAsia="微软雅黑" w:cs="微软雅黑"/>
          <w:spacing w:val="6"/>
          <w:sz w:val="43"/>
          <w:szCs w:val="43"/>
        </w:rPr>
        <w:t>项</w:t>
      </w:r>
      <w:r>
        <w:rPr>
          <w:rFonts w:hint="eastAsia" w:ascii="微软雅黑" w:hAnsi="微软雅黑" w:eastAsia="微软雅黑" w:cs="微软雅黑"/>
          <w:spacing w:val="6"/>
          <w:sz w:val="43"/>
          <w:szCs w:val="43"/>
          <w:lang w:val="en-US" w:eastAsia="zh-CN"/>
        </w:rPr>
        <w:t>目</w:t>
      </w:r>
      <w:bookmarkEnd w:id="0"/>
      <w:bookmarkEnd w:id="1"/>
      <w:bookmarkEnd w:id="2"/>
    </w:p>
    <w:p>
      <w:pPr>
        <w:spacing w:before="184" w:line="214" w:lineRule="auto"/>
        <w:ind w:left="2413" w:right="11" w:hanging="2395"/>
        <w:jc w:val="center"/>
        <w:rPr>
          <w:rFonts w:ascii="微软雅黑" w:hAnsi="微软雅黑" w:eastAsia="微软雅黑" w:cs="微软雅黑"/>
          <w:sz w:val="43"/>
          <w:szCs w:val="43"/>
        </w:rPr>
      </w:pPr>
      <w:r>
        <w:rPr>
          <w:rFonts w:ascii="微软雅黑" w:hAnsi="微软雅黑" w:eastAsia="微软雅黑" w:cs="微软雅黑"/>
          <w:spacing w:val="26"/>
          <w:sz w:val="43"/>
          <w:szCs w:val="43"/>
        </w:rPr>
        <w:t>绩效评价报</w:t>
      </w:r>
      <w:r>
        <w:rPr>
          <w:rFonts w:ascii="微软雅黑" w:hAnsi="微软雅黑" w:eastAsia="微软雅黑" w:cs="微软雅黑"/>
          <w:spacing w:val="24"/>
          <w:sz w:val="43"/>
          <w:szCs w:val="43"/>
        </w:rPr>
        <w:t>告</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100" w:line="228" w:lineRule="auto"/>
        <w:ind w:left="665"/>
        <w:rPr>
          <w:rFonts w:ascii="黑体" w:hAnsi="黑体" w:eastAsia="黑体" w:cs="黑体"/>
          <w:sz w:val="31"/>
          <w:szCs w:val="31"/>
        </w:rPr>
      </w:pPr>
      <w:r>
        <w:rPr>
          <w:rFonts w:ascii="黑体" w:hAnsi="黑体" w:eastAsia="黑体" w:cs="黑体"/>
          <w:spacing w:val="15"/>
          <w:sz w:val="31"/>
          <w:szCs w:val="31"/>
        </w:rPr>
        <w:t>委</w:t>
      </w:r>
      <w:r>
        <w:rPr>
          <w:rFonts w:ascii="黑体" w:hAnsi="黑体" w:eastAsia="黑体" w:cs="黑体"/>
          <w:spacing w:val="8"/>
          <w:sz w:val="31"/>
          <w:szCs w:val="31"/>
        </w:rPr>
        <w:t>托单位：</w:t>
      </w:r>
      <w:r>
        <w:rPr>
          <w:rFonts w:hint="eastAsia" w:ascii="黑体" w:hAnsi="黑体" w:eastAsia="黑体" w:cs="黑体"/>
          <w:spacing w:val="8"/>
          <w:sz w:val="31"/>
          <w:szCs w:val="31"/>
          <w:lang w:val="en-US" w:eastAsia="zh-CN"/>
        </w:rPr>
        <w:t>乌审旗</w:t>
      </w:r>
      <w:r>
        <w:rPr>
          <w:rFonts w:ascii="黑体" w:hAnsi="黑体" w:eastAsia="黑体" w:cs="黑体"/>
          <w:spacing w:val="8"/>
          <w:sz w:val="31"/>
          <w:szCs w:val="31"/>
        </w:rPr>
        <w:t>财政局</w:t>
      </w:r>
    </w:p>
    <w:p>
      <w:pPr>
        <w:spacing w:before="217" w:line="600" w:lineRule="exact"/>
        <w:ind w:left="661"/>
        <w:rPr>
          <w:rFonts w:hint="default" w:ascii="黑体" w:hAnsi="黑体" w:eastAsia="黑体" w:cs="黑体"/>
          <w:sz w:val="31"/>
          <w:szCs w:val="31"/>
          <w:lang w:val="en-US" w:eastAsia="zh-CN"/>
        </w:rPr>
      </w:pPr>
      <w:r>
        <w:rPr>
          <w:rFonts w:ascii="黑体" w:hAnsi="黑体" w:eastAsia="黑体" w:cs="黑体"/>
          <w:spacing w:val="15"/>
          <w:position w:val="21"/>
          <w:sz w:val="31"/>
          <w:szCs w:val="31"/>
        </w:rPr>
        <w:t>评</w:t>
      </w:r>
      <w:r>
        <w:rPr>
          <w:rFonts w:ascii="黑体" w:hAnsi="黑体" w:eastAsia="黑体" w:cs="黑体"/>
          <w:spacing w:val="9"/>
          <w:position w:val="21"/>
          <w:sz w:val="31"/>
          <w:szCs w:val="31"/>
        </w:rPr>
        <w:t>价机构：</w:t>
      </w:r>
      <w:r>
        <w:rPr>
          <w:rFonts w:hint="eastAsia" w:ascii="黑体" w:hAnsi="黑体" w:eastAsia="黑体" w:cs="黑体"/>
          <w:spacing w:val="9"/>
          <w:position w:val="21"/>
          <w:sz w:val="31"/>
          <w:szCs w:val="31"/>
          <w:lang w:val="en-US" w:eastAsia="zh-CN"/>
        </w:rPr>
        <w:t>内蒙古星舟会计师事务所（普通合伙）</w:t>
      </w:r>
    </w:p>
    <w:p>
      <w:pPr>
        <w:spacing w:line="223" w:lineRule="auto"/>
        <w:ind w:left="2896"/>
        <w:rPr>
          <w:rFonts w:ascii="楷体" w:hAnsi="楷体" w:eastAsia="楷体" w:cs="楷体"/>
          <w:sz w:val="31"/>
          <w:szCs w:val="31"/>
        </w:rPr>
      </w:pPr>
      <w:r>
        <w:rPr>
          <w:rFonts w:ascii="楷体" w:hAnsi="楷体" w:eastAsia="楷体" w:cs="楷体"/>
          <w:spacing w:val="12"/>
          <w:sz w:val="31"/>
          <w:szCs w:val="31"/>
        </w:rPr>
        <w:t>二</w:t>
      </w:r>
      <w:r>
        <w:rPr>
          <w:rFonts w:ascii="宋体" w:hAnsi="宋体" w:eastAsia="宋体" w:cs="宋体"/>
          <w:spacing w:val="8"/>
          <w:sz w:val="31"/>
          <w:szCs w:val="31"/>
        </w:rPr>
        <w:t>〇</w:t>
      </w:r>
      <w:r>
        <w:rPr>
          <w:rFonts w:ascii="楷体" w:hAnsi="楷体" w:eastAsia="楷体" w:cs="楷体"/>
          <w:spacing w:val="8"/>
          <w:sz w:val="31"/>
          <w:szCs w:val="31"/>
        </w:rPr>
        <w:t>二</w:t>
      </w:r>
      <w:r>
        <w:rPr>
          <w:rFonts w:hint="eastAsia" w:ascii="楷体" w:hAnsi="楷体" w:eastAsia="楷体" w:cs="楷体"/>
          <w:spacing w:val="8"/>
          <w:sz w:val="31"/>
          <w:szCs w:val="31"/>
          <w:lang w:val="en-US" w:eastAsia="zh-CN"/>
        </w:rPr>
        <w:t>三</w:t>
      </w:r>
      <w:r>
        <w:rPr>
          <w:rFonts w:ascii="楷体" w:hAnsi="楷体" w:eastAsia="楷体" w:cs="楷体"/>
          <w:spacing w:val="8"/>
          <w:sz w:val="31"/>
          <w:szCs w:val="31"/>
        </w:rPr>
        <w:t>年</w:t>
      </w:r>
      <w:r>
        <w:rPr>
          <w:rFonts w:hint="eastAsia" w:ascii="楷体" w:hAnsi="楷体" w:eastAsia="楷体" w:cs="楷体"/>
          <w:spacing w:val="8"/>
          <w:sz w:val="31"/>
          <w:szCs w:val="31"/>
          <w:lang w:val="en-US" w:eastAsia="zh-CN"/>
        </w:rPr>
        <w:t>五</w:t>
      </w:r>
      <w:r>
        <w:rPr>
          <w:rFonts w:ascii="楷体" w:hAnsi="楷体" w:eastAsia="楷体" w:cs="楷体"/>
          <w:spacing w:val="8"/>
          <w:sz w:val="31"/>
          <w:szCs w:val="31"/>
        </w:rPr>
        <w:t>月</w:t>
      </w:r>
    </w:p>
    <w:p>
      <w:pPr>
        <w:sectPr>
          <w:pgSz w:w="11906" w:h="16839"/>
          <w:pgMar w:top="1431" w:right="1785" w:bottom="0" w:left="1785" w:header="0" w:footer="0" w:gutter="0"/>
          <w:pgBorders w:offsetFrom="page">
            <w:top w:val="none" w:color="auto" w:sz="0" w:space="0"/>
            <w:left w:val="none" w:color="auto" w:sz="0" w:space="0"/>
            <w:bottom w:val="none" w:color="auto" w:sz="0" w:space="0"/>
            <w:right w:val="none" w:color="auto" w:sz="0" w:space="0"/>
          </w:pgBorders>
          <w:cols w:space="720" w:num="1"/>
        </w:sectPr>
      </w:pPr>
    </w:p>
    <w:p>
      <w:pPr>
        <w:spacing w:before="102" w:line="221" w:lineRule="auto"/>
        <w:ind w:left="3519"/>
        <w:outlineLvl w:val="0"/>
        <w:rPr>
          <w:rFonts w:ascii="仿宋" w:hAnsi="仿宋" w:eastAsia="仿宋" w:cs="仿宋"/>
          <w:sz w:val="43"/>
          <w:szCs w:val="43"/>
        </w:rPr>
      </w:pPr>
      <w:bookmarkStart w:id="3" w:name="_Toc19709"/>
      <w:bookmarkStart w:id="4" w:name="_Toc5971"/>
      <w:bookmarkStart w:id="5" w:name="_Toc20929"/>
      <w:bookmarkStart w:id="6" w:name="_Toc18577"/>
      <w:bookmarkStart w:id="7" w:name="_Toc17961"/>
      <w:bookmarkStart w:id="8" w:name="_Toc27583"/>
      <w:bookmarkStart w:id="9" w:name="_Toc30017"/>
      <w:bookmarkStart w:id="10" w:name="_Toc9"/>
      <w:r>
        <w:rPr>
          <w:rFonts w:ascii="仿宋" w:hAnsi="仿宋" w:eastAsia="仿宋" w:cs="仿宋"/>
          <w:b/>
          <w:bCs/>
          <w:spacing w:val="10"/>
          <w:sz w:val="43"/>
          <w:szCs w:val="43"/>
        </w:rPr>
        <w:t>摘</w:t>
      </w:r>
      <w:r>
        <w:rPr>
          <w:rFonts w:ascii="仿宋" w:hAnsi="仿宋" w:eastAsia="仿宋" w:cs="仿宋"/>
          <w:b/>
          <w:bCs/>
          <w:spacing w:val="9"/>
          <w:sz w:val="43"/>
          <w:szCs w:val="43"/>
        </w:rPr>
        <w:t xml:space="preserve">  要</w:t>
      </w:r>
      <w:bookmarkEnd w:id="3"/>
      <w:bookmarkEnd w:id="4"/>
      <w:bookmarkEnd w:id="5"/>
      <w:bookmarkEnd w:id="6"/>
      <w:bookmarkEnd w:id="7"/>
      <w:bookmarkEnd w:id="8"/>
      <w:bookmarkEnd w:id="9"/>
      <w:bookmarkEnd w:id="10"/>
    </w:p>
    <w:p>
      <w:pPr>
        <w:pStyle w:val="10"/>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根据《鄂尔多斯市人民政府关于全面实施预算绩效管理的意见》(鄂府发〔2020〕52号) 和《鄂尔多斯市财政局关于印发&lt;鄂尔多斯市预算绩效管理实施办法&gt;的通知》(鄂财绩规发〔2020〕2号)等文件的要求，受乌审旗财政局委托，内蒙古星舟会计师事务所（普通合伙）(以下简称“星舟事务所”)对2022年度乌审旗图克镇五件民生实事人大代表票决制项目开展第三方独立评价，经过前期准备、自评材料审核、现场核查评价、综合分析评价等一系列程序，形成评价报告。</w:t>
      </w:r>
    </w:p>
    <w:p>
      <w:pPr>
        <w:widowControl w:val="0"/>
        <w:wordWrap/>
        <w:adjustRightInd/>
        <w:snapToGrid/>
        <w:spacing w:before="3" w:line="360" w:lineRule="auto"/>
        <w:ind w:right="96" w:firstLine="610" w:firstLineChars="200"/>
        <w:jc w:val="both"/>
        <w:textAlignment w:val="baseline"/>
        <w:outlineLvl w:val="0"/>
        <w:rPr>
          <w:rFonts w:hint="default" w:ascii="仿宋_GB2312" w:hAnsi="仿宋_GB2312" w:eastAsia="仿宋_GB2312" w:cs="仿宋_GB2312"/>
          <w:spacing w:val="12"/>
          <w:sz w:val="28"/>
          <w:szCs w:val="28"/>
          <w:lang w:val="en-US" w:eastAsia="zh-CN"/>
        </w:rPr>
      </w:pPr>
      <w:bookmarkStart w:id="11" w:name="_Toc9491"/>
      <w:bookmarkStart w:id="12" w:name="_Toc15255"/>
      <w:bookmarkStart w:id="13" w:name="_Toc19846"/>
      <w:bookmarkStart w:id="14" w:name="_Toc10563"/>
      <w:bookmarkStart w:id="15" w:name="_Toc11975"/>
      <w:bookmarkStart w:id="16" w:name="_Toc11819"/>
      <w:bookmarkStart w:id="17" w:name="_Toc14858"/>
      <w:bookmarkStart w:id="18" w:name="_Toc7667"/>
      <w:bookmarkStart w:id="19" w:name="_Toc6186"/>
      <w:r>
        <w:rPr>
          <w:rFonts w:hint="eastAsia" w:ascii="仿宋_GB2312" w:hAnsi="仿宋_GB2312" w:eastAsia="仿宋_GB2312" w:cs="仿宋_GB2312"/>
          <w:b/>
          <w:bCs/>
          <w:spacing w:val="12"/>
          <w:sz w:val="28"/>
          <w:szCs w:val="28"/>
          <w:lang w:val="en-US" w:eastAsia="zh-CN"/>
        </w:rPr>
        <w:t>一、评价目的和范围</w:t>
      </w:r>
      <w:bookmarkEnd w:id="11"/>
      <w:bookmarkEnd w:id="12"/>
      <w:bookmarkEnd w:id="13"/>
      <w:bookmarkEnd w:id="14"/>
      <w:bookmarkEnd w:id="15"/>
      <w:bookmarkEnd w:id="16"/>
      <w:bookmarkEnd w:id="17"/>
      <w:bookmarkEnd w:id="18"/>
      <w:bookmarkEnd w:id="19"/>
    </w:p>
    <w:p>
      <w:pPr>
        <w:pStyle w:val="10"/>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本项目的评价目的是全面检验财政预算资金使用绩效，考核预算资金预期绩效目标的实现程度、支出效率和综合效果，进一 步提高财政支出的管理水平。本项目评价范围是2022年度乌审旗图克镇五件民生实事人大代表票决制项目，资金预算为500万元。根据既定指标体系，经综合各项因素，评定2022年度乌审旗图克镇五件民生实事人大代表票决制项目财政资金使用整体绩效得分为80.37分，等级为“良”。</w:t>
      </w:r>
    </w:p>
    <w:p>
      <w:pPr>
        <w:widowControl w:val="0"/>
        <w:wordWrap/>
        <w:adjustRightInd/>
        <w:snapToGrid/>
        <w:spacing w:before="3" w:line="360" w:lineRule="auto"/>
        <w:ind w:right="96" w:firstLine="606" w:firstLineChars="200"/>
        <w:jc w:val="both"/>
        <w:textAlignment w:val="baseline"/>
        <w:outlineLvl w:val="0"/>
        <w:rPr>
          <w:rFonts w:hint="default" w:ascii="仿宋_GB2312" w:hAnsi="仿宋_GB2312" w:eastAsia="仿宋_GB2312" w:cs="仿宋_GB2312"/>
          <w:spacing w:val="11"/>
          <w:sz w:val="28"/>
          <w:szCs w:val="28"/>
          <w:lang w:val="en-US" w:eastAsia="zh-CN"/>
        </w:rPr>
      </w:pPr>
      <w:bookmarkStart w:id="20" w:name="_Toc22879"/>
      <w:bookmarkStart w:id="21" w:name="_Toc28224"/>
      <w:bookmarkStart w:id="22" w:name="_Toc14171"/>
      <w:bookmarkStart w:id="23" w:name="_Toc15175"/>
      <w:bookmarkStart w:id="24" w:name="_Toc17398"/>
      <w:bookmarkStart w:id="25" w:name="_Toc24279"/>
      <w:bookmarkStart w:id="26" w:name="_Toc16444"/>
      <w:bookmarkStart w:id="27" w:name="_Toc18165"/>
      <w:bookmarkStart w:id="28" w:name="_Toc31312"/>
      <w:r>
        <w:rPr>
          <w:rFonts w:hint="eastAsia" w:ascii="仿宋_GB2312" w:hAnsi="仿宋_GB2312" w:eastAsia="仿宋_GB2312" w:cs="仿宋_GB2312"/>
          <w:b/>
          <w:bCs/>
          <w:spacing w:val="11"/>
          <w:sz w:val="28"/>
          <w:szCs w:val="28"/>
          <w:lang w:val="en-US" w:eastAsia="zh-CN"/>
        </w:rPr>
        <w:t>二、评价结论</w:t>
      </w:r>
      <w:bookmarkEnd w:id="20"/>
      <w:bookmarkEnd w:id="21"/>
      <w:bookmarkEnd w:id="22"/>
      <w:bookmarkEnd w:id="23"/>
      <w:bookmarkEnd w:id="24"/>
      <w:bookmarkEnd w:id="25"/>
      <w:bookmarkEnd w:id="26"/>
      <w:bookmarkEnd w:id="27"/>
      <w:bookmarkEnd w:id="28"/>
    </w:p>
    <w:p>
      <w:pPr>
        <w:pStyle w:val="10"/>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根据既定指标体系，经综合各项因素，评定2022年度乌审旗图克镇五件民生实事人大代表票决制项目财政资金使用整体绩效得分为80.37分，等级为“良”。</w:t>
      </w:r>
    </w:p>
    <w:tbl>
      <w:tblPr>
        <w:tblStyle w:val="14"/>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2050"/>
        <w:gridCol w:w="206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43" w:type="dxa"/>
            <w:vAlign w:val="top"/>
          </w:tcPr>
          <w:p>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一级指标</w:t>
            </w:r>
          </w:p>
        </w:tc>
        <w:tc>
          <w:tcPr>
            <w:tcW w:w="2050" w:type="dxa"/>
            <w:vAlign w:val="top"/>
          </w:tcPr>
          <w:p>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满分分值</w:t>
            </w:r>
          </w:p>
        </w:tc>
        <w:tc>
          <w:tcPr>
            <w:tcW w:w="2060" w:type="dxa"/>
            <w:vAlign w:val="top"/>
          </w:tcPr>
          <w:p>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评价得分</w:t>
            </w:r>
          </w:p>
        </w:tc>
        <w:tc>
          <w:tcPr>
            <w:tcW w:w="2069" w:type="dxa"/>
            <w:vAlign w:val="top"/>
          </w:tcPr>
          <w:p>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43"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项目决策</w:t>
            </w:r>
          </w:p>
        </w:tc>
        <w:tc>
          <w:tcPr>
            <w:tcW w:w="2050" w:type="dxa"/>
            <w:vAlign w:val="top"/>
          </w:tcPr>
          <w:p>
            <w:pPr>
              <w:jc w:val="center"/>
              <w:rPr>
                <w:rFonts w:hint="default" w:eastAsia="仿宋_GB2312"/>
                <w:sz w:val="24"/>
                <w:szCs w:val="24"/>
                <w:highlight w:val="none"/>
                <w:lang w:val="en-US" w:eastAsia="zh-CN"/>
              </w:rPr>
            </w:pPr>
            <w:r>
              <w:rPr>
                <w:rFonts w:hint="eastAsia" w:eastAsia="仿宋_GB2312"/>
                <w:sz w:val="24"/>
                <w:szCs w:val="24"/>
                <w:highlight w:val="none"/>
                <w:lang w:val="en-US" w:eastAsia="zh-CN"/>
              </w:rPr>
              <w:t>15</w:t>
            </w:r>
          </w:p>
        </w:tc>
        <w:tc>
          <w:tcPr>
            <w:tcW w:w="2060" w:type="dxa"/>
            <w:vAlign w:val="top"/>
          </w:tcPr>
          <w:p>
            <w:pPr>
              <w:jc w:val="center"/>
              <w:rPr>
                <w:rFonts w:hint="default" w:eastAsia="仿宋_GB2312"/>
                <w:sz w:val="24"/>
                <w:szCs w:val="24"/>
                <w:highlight w:val="none"/>
                <w:lang w:val="en-US" w:eastAsia="zh-CN"/>
              </w:rPr>
            </w:pPr>
            <w:r>
              <w:rPr>
                <w:rFonts w:hint="eastAsia" w:eastAsia="仿宋_GB2312"/>
                <w:sz w:val="24"/>
                <w:szCs w:val="24"/>
                <w:highlight w:val="none"/>
                <w:lang w:val="en-US" w:eastAsia="zh-CN"/>
              </w:rPr>
              <w:t>11.8</w:t>
            </w:r>
          </w:p>
        </w:tc>
        <w:tc>
          <w:tcPr>
            <w:tcW w:w="2069" w:type="dxa"/>
            <w:vAlign w:val="top"/>
          </w:tcPr>
          <w:p>
            <w:pPr>
              <w:jc w:val="center"/>
              <w:rPr>
                <w:rFonts w:hint="eastAsia" w:eastAsia="仿宋_GB2312"/>
                <w:sz w:val="24"/>
                <w:szCs w:val="24"/>
                <w:highlight w:val="none"/>
              </w:rPr>
            </w:pPr>
            <w:r>
              <w:rPr>
                <w:rFonts w:hint="eastAsia" w:eastAsia="仿宋_GB2312"/>
                <w:sz w:val="24"/>
                <w:szCs w:val="24"/>
                <w:highlight w:val="none"/>
                <w:lang w:val="en-US" w:eastAsia="zh-CN"/>
              </w:rPr>
              <w:t>78.67</w:t>
            </w:r>
            <w:r>
              <w:rPr>
                <w:rFonts w:hint="eastAsia" w:eastAsia="仿宋_GB231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43"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过程管理</w:t>
            </w:r>
          </w:p>
        </w:tc>
        <w:tc>
          <w:tcPr>
            <w:tcW w:w="2050" w:type="dxa"/>
            <w:vAlign w:val="top"/>
          </w:tcPr>
          <w:p>
            <w:pPr>
              <w:jc w:val="center"/>
              <w:rPr>
                <w:rFonts w:hint="eastAsia" w:eastAsia="仿宋_GB2312"/>
                <w:sz w:val="24"/>
                <w:szCs w:val="24"/>
                <w:highlight w:val="none"/>
                <w:lang w:eastAsia="zh-CN"/>
              </w:rPr>
            </w:pPr>
            <w:r>
              <w:rPr>
                <w:rFonts w:hint="eastAsia" w:eastAsia="仿宋_GB2312"/>
                <w:sz w:val="24"/>
                <w:szCs w:val="24"/>
                <w:highlight w:val="none"/>
              </w:rPr>
              <w:t>2</w:t>
            </w:r>
            <w:r>
              <w:rPr>
                <w:rFonts w:hint="eastAsia" w:eastAsia="仿宋_GB2312"/>
                <w:sz w:val="24"/>
                <w:szCs w:val="24"/>
                <w:highlight w:val="none"/>
                <w:lang w:val="en-US" w:eastAsia="zh-CN"/>
              </w:rPr>
              <w:t>0</w:t>
            </w:r>
          </w:p>
        </w:tc>
        <w:tc>
          <w:tcPr>
            <w:tcW w:w="2060" w:type="dxa"/>
            <w:vAlign w:val="top"/>
          </w:tcPr>
          <w:p>
            <w:pPr>
              <w:jc w:val="center"/>
              <w:rPr>
                <w:rFonts w:hint="default" w:eastAsia="仿宋_GB2312"/>
                <w:sz w:val="24"/>
                <w:szCs w:val="24"/>
                <w:highlight w:val="none"/>
                <w:lang w:val="en-US" w:eastAsia="zh-CN"/>
              </w:rPr>
            </w:pPr>
            <w:r>
              <w:rPr>
                <w:rFonts w:hint="eastAsia" w:eastAsia="仿宋_GB2312"/>
                <w:sz w:val="24"/>
                <w:szCs w:val="24"/>
                <w:highlight w:val="none"/>
                <w:lang w:val="en-US" w:eastAsia="zh-CN"/>
              </w:rPr>
              <w:t>12.76</w:t>
            </w:r>
          </w:p>
        </w:tc>
        <w:tc>
          <w:tcPr>
            <w:tcW w:w="2069" w:type="dxa"/>
            <w:vAlign w:val="top"/>
          </w:tcPr>
          <w:p>
            <w:pPr>
              <w:jc w:val="center"/>
              <w:rPr>
                <w:rFonts w:hint="eastAsia" w:eastAsia="仿宋_GB2312"/>
                <w:sz w:val="24"/>
                <w:szCs w:val="24"/>
                <w:highlight w:val="none"/>
              </w:rPr>
            </w:pPr>
            <w:r>
              <w:rPr>
                <w:rFonts w:hint="eastAsia" w:eastAsia="仿宋_GB2312"/>
                <w:sz w:val="24"/>
                <w:szCs w:val="24"/>
                <w:highlight w:val="none"/>
                <w:lang w:val="en-US" w:eastAsia="zh-CN"/>
              </w:rPr>
              <w:t>63.8</w:t>
            </w:r>
            <w:r>
              <w:rPr>
                <w:rFonts w:hint="eastAsia" w:eastAsia="仿宋_GB231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43"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项目产出</w:t>
            </w:r>
          </w:p>
        </w:tc>
        <w:tc>
          <w:tcPr>
            <w:tcW w:w="2050" w:type="dxa"/>
            <w:vAlign w:val="top"/>
          </w:tcPr>
          <w:p>
            <w:pPr>
              <w:jc w:val="center"/>
              <w:rPr>
                <w:rFonts w:hint="default" w:eastAsia="仿宋_GB2312"/>
                <w:sz w:val="24"/>
                <w:szCs w:val="24"/>
                <w:lang w:val="en-US" w:eastAsia="zh-CN"/>
              </w:rPr>
            </w:pPr>
            <w:r>
              <w:rPr>
                <w:rFonts w:hint="eastAsia" w:eastAsia="仿宋_GB2312"/>
                <w:sz w:val="24"/>
                <w:szCs w:val="24"/>
                <w:lang w:val="en-US" w:eastAsia="zh-CN"/>
              </w:rPr>
              <w:t>35</w:t>
            </w:r>
          </w:p>
        </w:tc>
        <w:tc>
          <w:tcPr>
            <w:tcW w:w="2060" w:type="dxa"/>
            <w:vAlign w:val="top"/>
          </w:tcPr>
          <w:p>
            <w:pPr>
              <w:jc w:val="center"/>
              <w:rPr>
                <w:rFonts w:hint="default" w:eastAsia="仿宋_GB2312"/>
                <w:sz w:val="24"/>
                <w:szCs w:val="24"/>
                <w:lang w:val="en-US" w:eastAsia="zh-CN"/>
              </w:rPr>
            </w:pPr>
            <w:r>
              <w:rPr>
                <w:rFonts w:hint="eastAsia" w:eastAsia="仿宋_GB2312"/>
                <w:sz w:val="24"/>
                <w:szCs w:val="24"/>
                <w:lang w:val="en-US" w:eastAsia="zh-CN"/>
              </w:rPr>
              <w:t>33.81</w:t>
            </w:r>
          </w:p>
        </w:tc>
        <w:tc>
          <w:tcPr>
            <w:tcW w:w="2069" w:type="dxa"/>
            <w:vAlign w:val="top"/>
          </w:tcPr>
          <w:p>
            <w:pPr>
              <w:jc w:val="center"/>
              <w:rPr>
                <w:rFonts w:hint="eastAsia" w:eastAsia="仿宋_GB2312"/>
                <w:sz w:val="24"/>
                <w:szCs w:val="24"/>
              </w:rPr>
            </w:pPr>
            <w:r>
              <w:rPr>
                <w:rFonts w:hint="eastAsia" w:eastAsia="仿宋_GB2312"/>
                <w:sz w:val="24"/>
                <w:szCs w:val="24"/>
                <w:lang w:val="en-US" w:eastAsia="zh-CN"/>
              </w:rPr>
              <w:t>96.6</w:t>
            </w:r>
            <w:r>
              <w:rPr>
                <w:rFonts w:hint="eastAsia"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43"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项目效益</w:t>
            </w:r>
          </w:p>
        </w:tc>
        <w:tc>
          <w:tcPr>
            <w:tcW w:w="2050" w:type="dxa"/>
            <w:vAlign w:val="top"/>
          </w:tcPr>
          <w:p>
            <w:pPr>
              <w:jc w:val="center"/>
              <w:rPr>
                <w:rFonts w:hint="default" w:eastAsia="仿宋_GB2312"/>
                <w:sz w:val="24"/>
                <w:szCs w:val="24"/>
                <w:lang w:val="en-US" w:eastAsia="zh-CN"/>
              </w:rPr>
            </w:pPr>
            <w:r>
              <w:rPr>
                <w:rFonts w:hint="eastAsia" w:eastAsia="仿宋_GB2312"/>
                <w:sz w:val="24"/>
                <w:szCs w:val="24"/>
                <w:lang w:val="en-US" w:eastAsia="zh-CN"/>
              </w:rPr>
              <w:t>30</w:t>
            </w:r>
          </w:p>
        </w:tc>
        <w:tc>
          <w:tcPr>
            <w:tcW w:w="2060" w:type="dxa"/>
            <w:vAlign w:val="top"/>
          </w:tcPr>
          <w:p>
            <w:pPr>
              <w:jc w:val="center"/>
              <w:rPr>
                <w:rFonts w:hint="default" w:eastAsia="仿宋_GB2312"/>
                <w:sz w:val="24"/>
                <w:szCs w:val="24"/>
                <w:lang w:val="en-US" w:eastAsia="zh-CN"/>
              </w:rPr>
            </w:pPr>
            <w:r>
              <w:rPr>
                <w:rFonts w:hint="eastAsia" w:eastAsia="仿宋_GB2312"/>
                <w:sz w:val="24"/>
                <w:szCs w:val="24"/>
                <w:lang w:val="en-US" w:eastAsia="zh-CN"/>
              </w:rPr>
              <w:t>22</w:t>
            </w:r>
          </w:p>
        </w:tc>
        <w:tc>
          <w:tcPr>
            <w:tcW w:w="2069" w:type="dxa"/>
            <w:vAlign w:val="top"/>
          </w:tcPr>
          <w:p>
            <w:pPr>
              <w:jc w:val="center"/>
              <w:rPr>
                <w:rFonts w:hint="eastAsia" w:eastAsia="仿宋_GB2312"/>
                <w:sz w:val="24"/>
                <w:szCs w:val="24"/>
              </w:rPr>
            </w:pPr>
            <w:r>
              <w:rPr>
                <w:rFonts w:hint="eastAsia" w:eastAsia="仿宋_GB2312"/>
                <w:sz w:val="24"/>
                <w:szCs w:val="24"/>
                <w:lang w:val="en-US" w:eastAsia="zh-CN"/>
              </w:rPr>
              <w:t>73.33</w:t>
            </w:r>
            <w:r>
              <w:rPr>
                <w:rFonts w:hint="eastAsia"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43"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合计</w:t>
            </w:r>
          </w:p>
        </w:tc>
        <w:tc>
          <w:tcPr>
            <w:tcW w:w="2050" w:type="dxa"/>
            <w:vAlign w:val="top"/>
          </w:tcPr>
          <w:p>
            <w:pPr>
              <w:jc w:val="center"/>
              <w:rPr>
                <w:rFonts w:hint="eastAsia" w:eastAsia="仿宋_GB2312"/>
                <w:sz w:val="24"/>
                <w:szCs w:val="24"/>
              </w:rPr>
            </w:pPr>
            <w:r>
              <w:rPr>
                <w:rFonts w:hint="eastAsia" w:eastAsia="仿宋_GB2312"/>
                <w:sz w:val="24"/>
                <w:szCs w:val="24"/>
              </w:rPr>
              <w:t>100</w:t>
            </w:r>
          </w:p>
        </w:tc>
        <w:tc>
          <w:tcPr>
            <w:tcW w:w="2060" w:type="dxa"/>
            <w:vAlign w:val="top"/>
          </w:tcPr>
          <w:p>
            <w:pPr>
              <w:jc w:val="center"/>
              <w:rPr>
                <w:rFonts w:hint="default" w:eastAsia="仿宋_GB2312"/>
                <w:sz w:val="24"/>
                <w:szCs w:val="24"/>
                <w:highlight w:val="none"/>
                <w:lang w:val="en-US" w:eastAsia="zh-CN"/>
              </w:rPr>
            </w:pPr>
            <w:r>
              <w:rPr>
                <w:rFonts w:hint="eastAsia" w:eastAsia="仿宋_GB2312"/>
                <w:sz w:val="24"/>
                <w:szCs w:val="24"/>
                <w:highlight w:val="none"/>
                <w:lang w:val="en-US" w:eastAsia="zh-CN"/>
              </w:rPr>
              <w:t>80.37</w:t>
            </w:r>
          </w:p>
        </w:tc>
        <w:tc>
          <w:tcPr>
            <w:tcW w:w="2069" w:type="dxa"/>
            <w:vAlign w:val="top"/>
          </w:tcPr>
          <w:p>
            <w:pPr>
              <w:jc w:val="center"/>
              <w:rPr>
                <w:rFonts w:hint="eastAsia" w:eastAsia="仿宋_GB2312"/>
                <w:sz w:val="24"/>
                <w:szCs w:val="24"/>
                <w:highlight w:val="none"/>
              </w:rPr>
            </w:pPr>
            <w:r>
              <w:rPr>
                <w:rFonts w:hint="eastAsia" w:eastAsia="仿宋_GB2312"/>
                <w:sz w:val="24"/>
                <w:szCs w:val="24"/>
                <w:highlight w:val="none"/>
                <w:lang w:val="en-US" w:eastAsia="zh-CN"/>
              </w:rPr>
              <w:t>80.37</w:t>
            </w:r>
            <w:r>
              <w:rPr>
                <w:rFonts w:hint="eastAsia" w:eastAsia="仿宋_GB2312"/>
                <w:sz w:val="24"/>
                <w:szCs w:val="24"/>
                <w:highlight w:val="none"/>
              </w:rPr>
              <w:t>%</w:t>
            </w:r>
          </w:p>
        </w:tc>
      </w:tr>
    </w:tbl>
    <w:p>
      <w:pPr>
        <w:pStyle w:val="10"/>
        <w:widowControl w:val="0"/>
        <w:wordWrap/>
        <w:adjustRightInd/>
        <w:snapToGrid/>
        <w:spacing w:before="0" w:beforeAutospacing="0" w:after="0" w:afterAutospacing="0" w:line="360" w:lineRule="auto"/>
        <w:ind w:firstLine="590" w:firstLineChars="200"/>
        <w:jc w:val="both"/>
        <w:textAlignment w:val="auto"/>
        <w:outlineLvl w:val="0"/>
        <w:rPr>
          <w:rFonts w:hint="default" w:ascii="仿宋_GB2312" w:hAnsi="仿宋_GB2312" w:eastAsia="仿宋_GB2312" w:cs="仿宋_GB2312"/>
          <w:spacing w:val="7"/>
          <w:sz w:val="28"/>
          <w:szCs w:val="28"/>
          <w:lang w:val="en-US" w:eastAsia="zh-CN"/>
        </w:rPr>
      </w:pPr>
      <w:bookmarkStart w:id="29" w:name="_Toc21554"/>
      <w:bookmarkStart w:id="30" w:name="_Toc75"/>
      <w:bookmarkStart w:id="31" w:name="_Toc6024"/>
      <w:bookmarkStart w:id="32" w:name="_Toc14203"/>
      <w:bookmarkStart w:id="33" w:name="_Toc28123"/>
      <w:bookmarkStart w:id="34" w:name="_Toc23506"/>
      <w:bookmarkStart w:id="35" w:name="_Toc4624"/>
      <w:bookmarkStart w:id="36" w:name="_Toc31787"/>
      <w:bookmarkStart w:id="37" w:name="_Toc30617"/>
      <w:r>
        <w:rPr>
          <w:rFonts w:hint="eastAsia" w:ascii="仿宋_GB2312" w:hAnsi="仿宋_GB2312" w:eastAsia="仿宋_GB2312" w:cs="仿宋_GB2312"/>
          <w:b/>
          <w:bCs/>
          <w:spacing w:val="7"/>
          <w:sz w:val="28"/>
          <w:szCs w:val="28"/>
          <w:highlight w:val="none"/>
          <w:lang w:val="en-US" w:eastAsia="zh-CN"/>
        </w:rPr>
        <w:t>三、主要成效</w:t>
      </w:r>
      <w:bookmarkEnd w:id="29"/>
      <w:bookmarkEnd w:id="30"/>
      <w:bookmarkEnd w:id="31"/>
      <w:bookmarkEnd w:id="32"/>
      <w:bookmarkEnd w:id="33"/>
      <w:bookmarkEnd w:id="34"/>
      <w:bookmarkEnd w:id="35"/>
      <w:bookmarkEnd w:id="36"/>
      <w:bookmarkEnd w:id="37"/>
    </w:p>
    <w:p>
      <w:pPr>
        <w:pStyle w:val="10"/>
        <w:widowControl w:val="0"/>
        <w:wordWrap/>
        <w:adjustRightInd/>
        <w:snapToGrid/>
        <w:spacing w:before="0" w:beforeAutospacing="0" w:after="0" w:afterAutospacing="0" w:line="360" w:lineRule="auto"/>
        <w:ind w:firstLine="590" w:firstLineChars="200"/>
        <w:jc w:val="both"/>
        <w:textAlignment w:val="auto"/>
        <w:outlineLvl w:val="1"/>
        <w:rPr>
          <w:rFonts w:hint="default" w:ascii="仿宋_GB2312" w:hAnsi="仿宋_GB2312" w:eastAsia="仿宋_GB2312" w:cs="仿宋_GB2312"/>
          <w:b/>
          <w:bCs/>
          <w:spacing w:val="7"/>
          <w:sz w:val="28"/>
          <w:szCs w:val="28"/>
          <w:lang w:val="en-US" w:eastAsia="zh-CN"/>
        </w:rPr>
      </w:pPr>
      <w:bookmarkStart w:id="38" w:name="_Toc4836"/>
      <w:bookmarkStart w:id="39" w:name="_Toc11827"/>
      <w:r>
        <w:rPr>
          <w:rFonts w:hint="eastAsia" w:ascii="仿宋_GB2312" w:hAnsi="仿宋_GB2312" w:eastAsia="仿宋_GB2312" w:cs="仿宋_GB2312"/>
          <w:b/>
          <w:bCs/>
          <w:spacing w:val="7"/>
          <w:sz w:val="28"/>
          <w:szCs w:val="28"/>
          <w:lang w:eastAsia="zh-CN"/>
        </w:rPr>
        <w:t>（</w:t>
      </w:r>
      <w:r>
        <w:rPr>
          <w:rFonts w:hint="eastAsia" w:ascii="仿宋_GB2312" w:hAnsi="仿宋_GB2312" w:eastAsia="仿宋_GB2312" w:cs="仿宋_GB2312"/>
          <w:b/>
          <w:bCs/>
          <w:spacing w:val="7"/>
          <w:sz w:val="28"/>
          <w:szCs w:val="28"/>
          <w:lang w:val="en-US" w:eastAsia="zh-CN"/>
        </w:rPr>
        <w:t>一</w:t>
      </w:r>
      <w:r>
        <w:rPr>
          <w:rFonts w:hint="eastAsia" w:ascii="仿宋_GB2312" w:hAnsi="仿宋_GB2312" w:eastAsia="仿宋_GB2312" w:cs="仿宋_GB2312"/>
          <w:b/>
          <w:bCs/>
          <w:spacing w:val="7"/>
          <w:sz w:val="28"/>
          <w:szCs w:val="28"/>
          <w:lang w:eastAsia="zh-CN"/>
        </w:rPr>
        <w:t>）</w:t>
      </w:r>
      <w:r>
        <w:rPr>
          <w:rFonts w:hint="eastAsia" w:ascii="仿宋_GB2312" w:hAnsi="仿宋_GB2312" w:eastAsia="仿宋_GB2312" w:cs="仿宋_GB2312"/>
          <w:b/>
          <w:bCs/>
          <w:spacing w:val="7"/>
          <w:sz w:val="28"/>
          <w:szCs w:val="28"/>
          <w:lang w:val="en-US" w:eastAsia="zh-CN"/>
        </w:rPr>
        <w:t>扎实推进民生实事项目建设</w:t>
      </w:r>
      <w:bookmarkEnd w:id="38"/>
      <w:bookmarkEnd w:id="39"/>
    </w:p>
    <w:p>
      <w:pPr>
        <w:pStyle w:val="10"/>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highlight w:val="none"/>
          <w:lang w:val="en-US" w:eastAsia="zh-CN"/>
        </w:rPr>
      </w:pPr>
      <w:bookmarkStart w:id="40" w:name="_Toc7857"/>
      <w:r>
        <w:rPr>
          <w:rFonts w:hint="eastAsia" w:ascii="仿宋_GB2312" w:hAnsi="仿宋_GB2312" w:eastAsia="仿宋_GB2312" w:cs="仿宋_GB2312"/>
          <w:sz w:val="28"/>
          <w:szCs w:val="28"/>
          <w:highlight w:val="none"/>
          <w:lang w:val="en-US" w:eastAsia="zh-CN"/>
        </w:rPr>
        <w:t>为推进民生重点项目建设,图克镇采取多项举措分工合作措施,项目领导定期调度,及时解决项目遇到的困难和问题；各职能部门强化沟通协调、要素保障和联系服务。对照项目完成时限，明确关键时间节点，确保项目如期完成。</w:t>
      </w:r>
      <w:bookmarkEnd w:id="40"/>
    </w:p>
    <w:p>
      <w:pPr>
        <w:pStyle w:val="10"/>
        <w:widowControl w:val="0"/>
        <w:wordWrap/>
        <w:adjustRightInd/>
        <w:snapToGrid/>
        <w:spacing w:before="0" w:beforeAutospacing="0" w:after="0" w:afterAutospacing="0" w:line="360" w:lineRule="auto"/>
        <w:ind w:firstLine="590" w:firstLineChars="200"/>
        <w:jc w:val="both"/>
        <w:textAlignment w:val="auto"/>
        <w:outlineLvl w:val="1"/>
        <w:rPr>
          <w:rFonts w:hint="default" w:ascii="仿宋_GB2312" w:hAnsi="仿宋_GB2312" w:eastAsia="仿宋_GB2312" w:cs="仿宋_GB2312"/>
          <w:b/>
          <w:bCs/>
          <w:spacing w:val="7"/>
          <w:sz w:val="28"/>
          <w:szCs w:val="28"/>
          <w:lang w:val="en-US" w:eastAsia="zh-CN"/>
        </w:rPr>
      </w:pPr>
      <w:bookmarkStart w:id="41" w:name="_Toc12449"/>
      <w:bookmarkStart w:id="42" w:name="_Toc14066"/>
      <w:r>
        <w:rPr>
          <w:rFonts w:hint="eastAsia" w:ascii="仿宋_GB2312" w:hAnsi="仿宋_GB2312" w:eastAsia="仿宋_GB2312" w:cs="仿宋_GB2312"/>
          <w:b/>
          <w:bCs/>
          <w:spacing w:val="7"/>
          <w:sz w:val="28"/>
          <w:szCs w:val="28"/>
          <w:lang w:eastAsia="zh-CN"/>
        </w:rPr>
        <w:t>（</w:t>
      </w:r>
      <w:r>
        <w:rPr>
          <w:rFonts w:hint="eastAsia" w:ascii="仿宋_GB2312" w:hAnsi="仿宋_GB2312" w:eastAsia="仿宋_GB2312" w:cs="仿宋_GB2312"/>
          <w:b/>
          <w:bCs/>
          <w:spacing w:val="7"/>
          <w:sz w:val="28"/>
          <w:szCs w:val="28"/>
          <w:lang w:val="en-US" w:eastAsia="zh-CN"/>
        </w:rPr>
        <w:t>二</w:t>
      </w:r>
      <w:r>
        <w:rPr>
          <w:rFonts w:hint="eastAsia" w:ascii="仿宋_GB2312" w:hAnsi="仿宋_GB2312" w:eastAsia="仿宋_GB2312" w:cs="仿宋_GB2312"/>
          <w:b/>
          <w:bCs/>
          <w:spacing w:val="7"/>
          <w:sz w:val="28"/>
          <w:szCs w:val="28"/>
          <w:lang w:eastAsia="zh-CN"/>
        </w:rPr>
        <w:t>）</w:t>
      </w:r>
      <w:r>
        <w:rPr>
          <w:rFonts w:hint="eastAsia" w:ascii="仿宋_GB2312" w:hAnsi="仿宋_GB2312" w:eastAsia="仿宋_GB2312" w:cs="仿宋_GB2312"/>
          <w:b/>
          <w:bCs/>
          <w:spacing w:val="7"/>
          <w:sz w:val="28"/>
          <w:szCs w:val="28"/>
          <w:lang w:val="en-US" w:eastAsia="zh-CN"/>
        </w:rPr>
        <w:t>办好办实民生工程</w:t>
      </w:r>
      <w:bookmarkEnd w:id="41"/>
      <w:bookmarkEnd w:id="42"/>
    </w:p>
    <w:p>
      <w:pPr>
        <w:pStyle w:val="10"/>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pacing w:val="7"/>
          <w:sz w:val="28"/>
          <w:szCs w:val="28"/>
        </w:rPr>
      </w:pPr>
      <w:r>
        <w:rPr>
          <w:rFonts w:hint="eastAsia" w:ascii="仿宋_GB2312" w:hAnsi="仿宋_GB2312" w:eastAsia="仿宋_GB2312" w:cs="仿宋_GB2312"/>
          <w:sz w:val="28"/>
          <w:szCs w:val="28"/>
          <w:highlight w:val="none"/>
          <w:lang w:val="en-US" w:eastAsia="zh-CN"/>
        </w:rPr>
        <w:t>图克镇人大在党的领导下，充分发挥主导作用，进一步健全完善制度机制，丰富和拓展“三个阶段、六个环节”工作流程。目前除部分跨年度的实施项目外基本完工，切实为群众解决了实际困难。</w:t>
      </w:r>
    </w:p>
    <w:p>
      <w:pPr>
        <w:pStyle w:val="10"/>
        <w:widowControl w:val="0"/>
        <w:wordWrap/>
        <w:adjustRightInd/>
        <w:snapToGrid/>
        <w:spacing w:before="0" w:beforeAutospacing="0" w:after="0" w:afterAutospacing="0" w:line="360" w:lineRule="auto"/>
        <w:ind w:firstLine="590" w:firstLineChars="200"/>
        <w:jc w:val="both"/>
        <w:textAlignment w:val="auto"/>
        <w:outlineLvl w:val="1"/>
        <w:rPr>
          <w:rFonts w:hint="default" w:ascii="仿宋_GB2312" w:hAnsi="仿宋_GB2312" w:eastAsia="仿宋_GB2312" w:cs="仿宋_GB2312"/>
          <w:spacing w:val="7"/>
          <w:sz w:val="28"/>
          <w:szCs w:val="28"/>
          <w:lang w:val="en-US" w:eastAsia="zh-CN"/>
        </w:rPr>
      </w:pPr>
      <w:bookmarkStart w:id="43" w:name="_Toc30536"/>
      <w:bookmarkStart w:id="44" w:name="_Toc32040"/>
      <w:r>
        <w:rPr>
          <w:rFonts w:hint="eastAsia" w:ascii="仿宋_GB2312" w:hAnsi="仿宋_GB2312" w:eastAsia="仿宋_GB2312" w:cs="仿宋_GB2312"/>
          <w:b/>
          <w:bCs/>
          <w:spacing w:val="7"/>
          <w:sz w:val="28"/>
          <w:szCs w:val="28"/>
          <w:lang w:eastAsia="zh-CN"/>
        </w:rPr>
        <w:t>（</w:t>
      </w:r>
      <w:r>
        <w:rPr>
          <w:rFonts w:hint="eastAsia" w:ascii="仿宋_GB2312" w:hAnsi="仿宋_GB2312" w:eastAsia="仿宋_GB2312" w:cs="仿宋_GB2312"/>
          <w:b/>
          <w:bCs/>
          <w:spacing w:val="7"/>
          <w:sz w:val="28"/>
          <w:szCs w:val="28"/>
          <w:lang w:val="en-US" w:eastAsia="zh-CN"/>
        </w:rPr>
        <w:t>三</w:t>
      </w:r>
      <w:r>
        <w:rPr>
          <w:rFonts w:hint="eastAsia" w:ascii="仿宋_GB2312" w:hAnsi="仿宋_GB2312" w:eastAsia="仿宋_GB2312" w:cs="仿宋_GB2312"/>
          <w:b/>
          <w:bCs/>
          <w:spacing w:val="7"/>
          <w:sz w:val="28"/>
          <w:szCs w:val="28"/>
          <w:lang w:eastAsia="zh-CN"/>
        </w:rPr>
        <w:t>）</w:t>
      </w:r>
      <w:r>
        <w:rPr>
          <w:rFonts w:hint="eastAsia" w:ascii="仿宋_GB2312" w:hAnsi="仿宋_GB2312" w:eastAsia="仿宋_GB2312" w:cs="仿宋_GB2312"/>
          <w:b/>
          <w:bCs/>
          <w:spacing w:val="7"/>
          <w:sz w:val="28"/>
          <w:szCs w:val="28"/>
          <w:lang w:val="en-US" w:eastAsia="zh-CN"/>
        </w:rPr>
        <w:t>全心全意惠民生</w:t>
      </w:r>
      <w:bookmarkEnd w:id="43"/>
      <w:bookmarkEnd w:id="44"/>
    </w:p>
    <w:p>
      <w:pPr>
        <w:pStyle w:val="10"/>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图克镇在票决项目实施上采取了有力措施，民生实事项目任务分解方案明确了牵头部门，细化了目标任务和完成时限，形成了推进工作的合力。特别是把资金保障作为先决条件，把人大代表票决制项目资金列入财政预算，保障项目实施无后顾之忧。</w:t>
      </w:r>
    </w:p>
    <w:p>
      <w:pPr>
        <w:pStyle w:val="10"/>
        <w:widowControl w:val="0"/>
        <w:wordWrap/>
        <w:adjustRightInd/>
        <w:snapToGrid/>
        <w:spacing w:before="0" w:beforeAutospacing="0" w:after="0" w:afterAutospacing="0" w:line="360" w:lineRule="auto"/>
        <w:ind w:firstLine="590" w:firstLineChars="200"/>
        <w:jc w:val="both"/>
        <w:textAlignment w:val="auto"/>
        <w:outlineLvl w:val="1"/>
        <w:rPr>
          <w:rFonts w:hint="default" w:ascii="仿宋_GB2312" w:hAnsi="仿宋_GB2312" w:eastAsia="仿宋_GB2312" w:cs="仿宋_GB2312"/>
          <w:spacing w:val="7"/>
          <w:sz w:val="28"/>
          <w:szCs w:val="28"/>
          <w:lang w:val="en-US" w:eastAsia="zh-CN"/>
        </w:rPr>
      </w:pPr>
      <w:bookmarkStart w:id="45" w:name="_Toc30667"/>
      <w:bookmarkStart w:id="46" w:name="_Toc29806"/>
      <w:r>
        <w:rPr>
          <w:rFonts w:hint="eastAsia" w:ascii="仿宋_GB2312" w:hAnsi="仿宋_GB2312" w:eastAsia="仿宋_GB2312" w:cs="仿宋_GB2312"/>
          <w:b/>
          <w:bCs/>
          <w:spacing w:val="7"/>
          <w:sz w:val="28"/>
          <w:szCs w:val="28"/>
          <w:lang w:eastAsia="zh-CN"/>
        </w:rPr>
        <w:t>（</w:t>
      </w:r>
      <w:r>
        <w:rPr>
          <w:rFonts w:hint="eastAsia" w:ascii="仿宋_GB2312" w:hAnsi="仿宋_GB2312" w:eastAsia="仿宋_GB2312" w:cs="仿宋_GB2312"/>
          <w:b/>
          <w:bCs/>
          <w:spacing w:val="7"/>
          <w:sz w:val="28"/>
          <w:szCs w:val="28"/>
          <w:lang w:val="en-US" w:eastAsia="zh-CN"/>
        </w:rPr>
        <w:t>四</w:t>
      </w:r>
      <w:r>
        <w:rPr>
          <w:rFonts w:hint="eastAsia" w:ascii="仿宋_GB2312" w:hAnsi="仿宋_GB2312" w:eastAsia="仿宋_GB2312" w:cs="仿宋_GB2312"/>
          <w:b/>
          <w:bCs/>
          <w:spacing w:val="7"/>
          <w:sz w:val="28"/>
          <w:szCs w:val="28"/>
          <w:lang w:eastAsia="zh-CN"/>
        </w:rPr>
        <w:t>）</w:t>
      </w:r>
      <w:r>
        <w:rPr>
          <w:rFonts w:hint="eastAsia" w:ascii="仿宋_GB2312" w:hAnsi="仿宋_GB2312" w:eastAsia="仿宋_GB2312" w:cs="仿宋_GB2312"/>
          <w:b/>
          <w:bCs/>
          <w:spacing w:val="7"/>
          <w:sz w:val="28"/>
          <w:szCs w:val="28"/>
          <w:lang w:val="en-US" w:eastAsia="zh-CN"/>
        </w:rPr>
        <w:t>结合实际各</w:t>
      </w:r>
      <w:r>
        <w:rPr>
          <w:rFonts w:hint="eastAsia" w:ascii="仿宋_GB2312" w:hAnsi="仿宋_GB2312" w:eastAsia="仿宋_GB2312" w:cs="仿宋_GB2312"/>
          <w:b/>
          <w:bCs/>
          <w:spacing w:val="7"/>
          <w:sz w:val="28"/>
          <w:szCs w:val="28"/>
          <w:highlight w:val="none"/>
          <w:lang w:val="en-US" w:eastAsia="zh-CN"/>
        </w:rPr>
        <w:t>具</w:t>
      </w:r>
      <w:r>
        <w:rPr>
          <w:rFonts w:hint="eastAsia" w:ascii="仿宋_GB2312" w:hAnsi="仿宋_GB2312" w:eastAsia="仿宋_GB2312" w:cs="仿宋_GB2312"/>
          <w:b/>
          <w:bCs/>
          <w:spacing w:val="7"/>
          <w:sz w:val="28"/>
          <w:szCs w:val="28"/>
          <w:lang w:val="en-US" w:eastAsia="zh-CN"/>
        </w:rPr>
        <w:t>特色</w:t>
      </w:r>
      <w:bookmarkEnd w:id="45"/>
      <w:bookmarkEnd w:id="46"/>
    </w:p>
    <w:p>
      <w:pPr>
        <w:pStyle w:val="10"/>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在项目实施上，注重结合地区的实际，各有侧重、体现特色，保证项目实施的质量和效果。</w:t>
      </w:r>
    </w:p>
    <w:p>
      <w:pPr>
        <w:pStyle w:val="10"/>
        <w:widowControl w:val="0"/>
        <w:wordWrap/>
        <w:adjustRightInd/>
        <w:snapToGrid/>
        <w:spacing w:before="0" w:beforeAutospacing="0" w:after="0" w:afterAutospacing="0" w:line="360" w:lineRule="auto"/>
        <w:ind w:firstLine="590" w:firstLineChars="200"/>
        <w:jc w:val="both"/>
        <w:textAlignment w:val="auto"/>
        <w:outlineLvl w:val="0"/>
        <w:rPr>
          <w:rFonts w:hint="default" w:ascii="仿宋_GB2312" w:hAnsi="仿宋_GB2312" w:eastAsia="仿宋_GB2312" w:cs="仿宋_GB2312"/>
          <w:spacing w:val="7"/>
          <w:sz w:val="28"/>
          <w:szCs w:val="28"/>
          <w:lang w:val="en-US" w:eastAsia="zh-CN"/>
        </w:rPr>
      </w:pPr>
      <w:bookmarkStart w:id="47" w:name="_Toc31506"/>
      <w:bookmarkStart w:id="48" w:name="_Toc26254"/>
      <w:bookmarkStart w:id="49" w:name="_Toc6977"/>
      <w:bookmarkStart w:id="50" w:name="_Toc981"/>
      <w:bookmarkStart w:id="51" w:name="_Toc6365"/>
      <w:bookmarkStart w:id="52" w:name="_Toc29055"/>
      <w:bookmarkStart w:id="53" w:name="_Toc16097"/>
      <w:bookmarkStart w:id="54" w:name="_Toc25214"/>
      <w:bookmarkStart w:id="55" w:name="_Toc18618"/>
      <w:r>
        <w:rPr>
          <w:rFonts w:hint="eastAsia" w:ascii="仿宋_GB2312" w:hAnsi="仿宋_GB2312" w:eastAsia="仿宋_GB2312" w:cs="仿宋_GB2312"/>
          <w:b/>
          <w:bCs/>
          <w:spacing w:val="7"/>
          <w:sz w:val="28"/>
          <w:szCs w:val="28"/>
          <w:highlight w:val="none"/>
          <w:lang w:val="en-US" w:eastAsia="zh-CN"/>
        </w:rPr>
        <w:t>四、存在问题</w:t>
      </w:r>
      <w:bookmarkEnd w:id="47"/>
      <w:bookmarkEnd w:id="48"/>
      <w:bookmarkEnd w:id="49"/>
      <w:bookmarkEnd w:id="50"/>
      <w:bookmarkEnd w:id="51"/>
      <w:bookmarkEnd w:id="52"/>
      <w:bookmarkEnd w:id="53"/>
      <w:bookmarkEnd w:id="54"/>
      <w:bookmarkEnd w:id="55"/>
    </w:p>
    <w:p>
      <w:pPr>
        <w:pStyle w:val="10"/>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highlight w:val="none"/>
          <w:lang w:val="en-US" w:eastAsia="zh-CN"/>
        </w:rPr>
      </w:pPr>
      <w:bookmarkStart w:id="56" w:name="_Toc7257"/>
      <w:bookmarkStart w:id="57" w:name="_Toc4917"/>
      <w:bookmarkStart w:id="58" w:name="_Toc30841"/>
      <w:bookmarkStart w:id="59" w:name="_Toc17319"/>
      <w:r>
        <w:rPr>
          <w:rFonts w:hint="eastAsia" w:ascii="仿宋_GB2312" w:hAnsi="仿宋_GB2312" w:eastAsia="仿宋_GB2312" w:cs="仿宋_GB2312"/>
          <w:sz w:val="28"/>
          <w:szCs w:val="28"/>
          <w:highlight w:val="none"/>
          <w:lang w:val="en-US" w:eastAsia="zh-CN"/>
        </w:rPr>
        <w:t>通过资料审核、专家现场座谈等方式，发现项目存在以下问题：</w:t>
      </w:r>
      <w:bookmarkEnd w:id="56"/>
      <w:bookmarkEnd w:id="57"/>
      <w:bookmarkEnd w:id="58"/>
      <w:bookmarkEnd w:id="59"/>
    </w:p>
    <w:p>
      <w:pPr>
        <w:pStyle w:val="10"/>
        <w:widowControl w:val="0"/>
        <w:wordWrap/>
        <w:adjustRightInd/>
        <w:snapToGrid/>
        <w:spacing w:before="0" w:beforeAutospacing="0" w:after="0" w:afterAutospacing="0" w:line="360" w:lineRule="auto"/>
        <w:ind w:firstLine="562" w:firstLineChars="200"/>
        <w:jc w:val="both"/>
        <w:textAlignment w:val="auto"/>
        <w:outlineLvl w:val="2"/>
        <w:rPr>
          <w:rFonts w:hint="default" w:ascii="仿宋_GB2312" w:hAnsi="仿宋_GB2312" w:eastAsia="仿宋_GB2312" w:cs="仿宋_GB2312"/>
          <w:b w:val="0"/>
          <w:bCs w:val="0"/>
          <w:sz w:val="28"/>
          <w:szCs w:val="28"/>
          <w:highlight w:val="none"/>
          <w:lang w:val="en-US" w:eastAsia="zh-CN"/>
        </w:rPr>
      </w:pPr>
      <w:bookmarkStart w:id="60" w:name="_Toc24204"/>
      <w:bookmarkStart w:id="61" w:name="_Toc27228"/>
      <w:r>
        <w:rPr>
          <w:rFonts w:hint="eastAsia" w:ascii="仿宋_GB2312" w:hAnsi="仿宋_GB2312" w:eastAsia="仿宋_GB2312" w:cs="仿宋_GB2312"/>
          <w:b/>
          <w:bCs/>
          <w:sz w:val="28"/>
          <w:szCs w:val="28"/>
          <w:lang w:val="en-US" w:eastAsia="zh-CN"/>
        </w:rPr>
        <w:t>（一）</w:t>
      </w:r>
      <w:r>
        <w:rPr>
          <w:rFonts w:hint="default" w:ascii="仿宋_GB2312" w:hAnsi="仿宋_GB2312" w:eastAsia="仿宋_GB2312" w:cs="仿宋_GB2312"/>
          <w:b/>
          <w:bCs/>
          <w:sz w:val="28"/>
          <w:szCs w:val="28"/>
          <w:lang w:val="en-US" w:eastAsia="zh-CN"/>
        </w:rPr>
        <w:t>绩效目标细化、量化程度不足</w:t>
      </w:r>
      <w:bookmarkEnd w:id="60"/>
      <w:bookmarkEnd w:id="61"/>
    </w:p>
    <w:p>
      <w:pPr>
        <w:pStyle w:val="10"/>
        <w:widowControl w:val="0"/>
        <w:wordWrap/>
        <w:adjustRightInd/>
        <w:snapToGrid/>
        <w:spacing w:before="0" w:beforeAutospacing="0" w:after="0" w:afterAutospacing="0" w:line="360" w:lineRule="auto"/>
        <w:ind w:firstLine="560" w:firstLineChars="200"/>
        <w:jc w:val="both"/>
        <w:textAlignment w:val="auto"/>
        <w:outlineLvl w:val="1"/>
        <w:rPr>
          <w:rFonts w:hint="default" w:ascii="仿宋_GB2312" w:hAnsi="仿宋_GB2312" w:eastAsia="仿宋_GB2312" w:cs="仿宋_GB2312"/>
          <w:b/>
          <w:bCs/>
          <w:sz w:val="28"/>
          <w:szCs w:val="28"/>
          <w:lang w:val="en-US" w:eastAsia="zh-CN"/>
        </w:rPr>
      </w:pPr>
      <w:bookmarkStart w:id="62" w:name="_Toc16943"/>
      <w:bookmarkStart w:id="63" w:name="_Toc5197"/>
      <w:r>
        <w:rPr>
          <w:rFonts w:hint="eastAsia" w:ascii="仿宋_GB2312" w:hAnsi="仿宋_GB2312" w:eastAsia="仿宋_GB2312" w:cs="仿宋_GB2312"/>
          <w:b w:val="0"/>
          <w:bCs w:val="0"/>
          <w:sz w:val="28"/>
          <w:szCs w:val="28"/>
          <w:highlight w:val="none"/>
        </w:rPr>
        <w:t>根据项目单位提供的</w:t>
      </w:r>
      <w:r>
        <w:rPr>
          <w:rFonts w:hint="eastAsia" w:ascii="仿宋_GB2312" w:hAnsi="仿宋_GB2312" w:eastAsia="仿宋_GB2312" w:cs="仿宋_GB2312"/>
          <w:b w:val="0"/>
          <w:bCs w:val="0"/>
          <w:sz w:val="28"/>
          <w:szCs w:val="28"/>
          <w:highlight w:val="none"/>
          <w:lang w:val="en-US" w:eastAsia="zh-CN"/>
        </w:rPr>
        <w:t>自评资料发现</w:t>
      </w:r>
      <w:r>
        <w:rPr>
          <w:rFonts w:hint="eastAsia" w:ascii="仿宋_GB2312" w:hAnsi="仿宋_GB2312" w:eastAsia="仿宋_GB2312" w:cs="仿宋_GB2312"/>
          <w:b w:val="0"/>
          <w:bCs w:val="0"/>
          <w:sz w:val="28"/>
          <w:szCs w:val="28"/>
          <w:highlight w:val="none"/>
        </w:rPr>
        <w:t>，</w:t>
      </w:r>
      <w:r>
        <w:rPr>
          <w:rFonts w:hint="eastAsia" w:ascii="仿宋_GB2312" w:hAnsi="仿宋_GB2312" w:eastAsia="仿宋_GB2312" w:cs="仿宋_GB2312"/>
          <w:b w:val="0"/>
          <w:bCs w:val="0"/>
          <w:sz w:val="28"/>
          <w:szCs w:val="28"/>
          <w:highlight w:val="none"/>
          <w:lang w:val="en-US" w:eastAsia="zh-CN"/>
        </w:rPr>
        <w:t>部分项目未设置绩效目标，部分项目</w:t>
      </w:r>
      <w:r>
        <w:rPr>
          <w:rFonts w:hint="eastAsia" w:ascii="仿宋_GB2312" w:hAnsi="仿宋_GB2312" w:eastAsia="仿宋_GB2312" w:cs="仿宋_GB2312"/>
          <w:b w:val="0"/>
          <w:bCs w:val="0"/>
          <w:sz w:val="28"/>
          <w:szCs w:val="28"/>
          <w:highlight w:val="none"/>
        </w:rPr>
        <w:t>设置的绩效目标细化、量化程度不足</w:t>
      </w:r>
      <w:r>
        <w:rPr>
          <w:rFonts w:hint="eastAsia" w:ascii="仿宋_GB2312" w:hAnsi="仿宋_GB2312" w:eastAsia="仿宋_GB2312" w:cs="仿宋_GB2312"/>
          <w:b w:val="0"/>
          <w:bCs w:val="0"/>
          <w:sz w:val="28"/>
          <w:szCs w:val="28"/>
          <w:highlight w:val="none"/>
          <w:lang w:eastAsia="zh-CN"/>
        </w:rPr>
        <w:t>，绩效指标设置未能凸显项目绩效特色，绩效指标与绩效目标关联性相对较差，</w:t>
      </w:r>
      <w:r>
        <w:rPr>
          <w:rFonts w:hint="eastAsia" w:ascii="仿宋_GB2312" w:hAnsi="仿宋_GB2312" w:eastAsia="仿宋_GB2312" w:cs="仿宋_GB2312"/>
          <w:b w:val="0"/>
          <w:bCs w:val="0"/>
          <w:sz w:val="28"/>
          <w:szCs w:val="28"/>
          <w:highlight w:val="none"/>
          <w:lang w:val="en-US" w:eastAsia="zh-CN"/>
        </w:rPr>
        <w:t>部分绩效指标缺少佐证资料。</w:t>
      </w:r>
      <w:bookmarkEnd w:id="62"/>
      <w:bookmarkEnd w:id="63"/>
    </w:p>
    <w:p>
      <w:pPr>
        <w:pStyle w:val="10"/>
        <w:widowControl w:val="0"/>
        <w:wordWrap/>
        <w:adjustRightInd/>
        <w:snapToGrid/>
        <w:spacing w:before="0" w:beforeAutospacing="0" w:after="0" w:afterAutospacing="0" w:line="360" w:lineRule="auto"/>
        <w:ind w:firstLine="562" w:firstLineChars="200"/>
        <w:jc w:val="both"/>
        <w:textAlignment w:val="auto"/>
        <w:outlineLvl w:val="2"/>
        <w:rPr>
          <w:rFonts w:hint="default" w:ascii="仿宋_GB2312" w:hAnsi="仿宋_GB2312" w:eastAsia="仿宋_GB2312" w:cs="仿宋_GB2312"/>
          <w:b/>
          <w:bCs/>
          <w:sz w:val="28"/>
          <w:szCs w:val="28"/>
          <w:highlight w:val="none"/>
          <w:lang w:val="en-US" w:eastAsia="zh-CN"/>
        </w:rPr>
      </w:pPr>
      <w:bookmarkStart w:id="64" w:name="_Toc28712"/>
      <w:bookmarkStart w:id="65" w:name="_Toc31666"/>
      <w:r>
        <w:rPr>
          <w:rFonts w:hint="eastAsia" w:ascii="仿宋_GB2312" w:hAnsi="仿宋_GB2312" w:eastAsia="仿宋_GB2312" w:cs="仿宋_GB2312"/>
          <w:b/>
          <w:bCs/>
          <w:sz w:val="28"/>
          <w:szCs w:val="28"/>
          <w:highlight w:val="none"/>
          <w:lang w:val="en-US" w:eastAsia="zh-CN"/>
        </w:rPr>
        <w:t>（二）预算额度与工作任务匹配性较差</w:t>
      </w:r>
      <w:bookmarkEnd w:id="64"/>
      <w:bookmarkEnd w:id="65"/>
    </w:p>
    <w:p>
      <w:pPr>
        <w:pStyle w:val="10"/>
        <w:widowControl w:val="0"/>
        <w:wordWrap/>
        <w:adjustRightInd/>
        <w:snapToGrid/>
        <w:spacing w:before="0" w:beforeAutospacing="0" w:after="0" w:afterAutospacing="0" w:line="360" w:lineRule="auto"/>
        <w:ind w:firstLine="560" w:firstLineChars="200"/>
        <w:jc w:val="both"/>
        <w:textAlignment w:val="auto"/>
        <w:outlineLvl w:val="2"/>
        <w:rPr>
          <w:rFonts w:hint="default" w:ascii="仿宋_GB2312" w:hAnsi="仿宋_GB2312" w:eastAsia="仿宋_GB2312" w:cs="仿宋_GB2312"/>
          <w:b w:val="0"/>
          <w:bCs w:val="0"/>
          <w:sz w:val="28"/>
          <w:szCs w:val="28"/>
          <w:highlight w:val="none"/>
          <w:lang w:val="en-US" w:eastAsia="zh-CN"/>
        </w:rPr>
      </w:pPr>
      <w:bookmarkStart w:id="66" w:name="_Toc22514"/>
      <w:bookmarkStart w:id="67" w:name="_Toc23136"/>
      <w:r>
        <w:rPr>
          <w:rFonts w:hint="eastAsia" w:ascii="仿宋_GB2312" w:hAnsi="仿宋_GB2312" w:eastAsia="仿宋_GB2312" w:cs="仿宋_GB2312"/>
          <w:b w:val="0"/>
          <w:bCs w:val="0"/>
          <w:sz w:val="28"/>
          <w:szCs w:val="28"/>
          <w:highlight w:val="none"/>
          <w:lang w:val="en-US" w:eastAsia="zh-CN"/>
        </w:rPr>
        <w:t>1.农村牧区通网试点工程项目，由电信公司提供300M 速率的入户有线宽带，电视会员、千兆路由器、无线路由器、一台室外监控等设施设备，在提速降费总原则下，按照每户1800元标准，镇政府对每户补贴800元。该项目投资额50万元，2022年度旗本级财政预算安排50万元，当年实施166户，共计13.28万元，项目已完工验收，结余资金36.72万元，资金结余73.44%。</w:t>
      </w:r>
      <w:bookmarkEnd w:id="66"/>
      <w:bookmarkEnd w:id="67"/>
    </w:p>
    <w:p>
      <w:pPr>
        <w:pStyle w:val="10"/>
        <w:widowControl w:val="0"/>
        <w:wordWrap/>
        <w:adjustRightInd/>
        <w:snapToGrid/>
        <w:spacing w:before="0" w:beforeAutospacing="0" w:after="0" w:afterAutospacing="0" w:line="360" w:lineRule="auto"/>
        <w:ind w:firstLine="560" w:firstLineChars="200"/>
        <w:jc w:val="both"/>
        <w:textAlignment w:val="auto"/>
        <w:outlineLvl w:val="2"/>
        <w:rPr>
          <w:rFonts w:hint="eastAsia" w:ascii="仿宋_GB2312" w:hAnsi="仿宋_GB2312" w:eastAsia="仿宋_GB2312" w:cs="仿宋_GB2312"/>
          <w:b w:val="0"/>
          <w:bCs w:val="0"/>
          <w:sz w:val="28"/>
          <w:szCs w:val="28"/>
          <w:highlight w:val="none"/>
          <w:lang w:val="en-US" w:eastAsia="zh-CN"/>
        </w:rPr>
      </w:pPr>
      <w:bookmarkStart w:id="68" w:name="_Toc5750"/>
      <w:bookmarkStart w:id="69" w:name="_Toc29218"/>
      <w:r>
        <w:rPr>
          <w:rFonts w:hint="eastAsia" w:ascii="仿宋_GB2312" w:hAnsi="仿宋_GB2312" w:eastAsia="仿宋_GB2312" w:cs="仿宋_GB2312"/>
          <w:b w:val="0"/>
          <w:bCs w:val="0"/>
          <w:sz w:val="28"/>
          <w:szCs w:val="28"/>
          <w:highlight w:val="none"/>
          <w:lang w:val="en-US" w:eastAsia="zh-CN"/>
        </w:rPr>
        <w:t>图克镇人民政府2022年第22次党委（扩大）会议纪要，会议同意将通网试点工程结余资金35.5万元追加至补贴农牧民建设棚圈项目。</w:t>
      </w:r>
      <w:bookmarkEnd w:id="68"/>
      <w:bookmarkEnd w:id="69"/>
    </w:p>
    <w:p>
      <w:pPr>
        <w:pStyle w:val="10"/>
        <w:widowControl w:val="0"/>
        <w:wordWrap/>
        <w:adjustRightInd/>
        <w:snapToGrid/>
        <w:spacing w:before="0" w:beforeAutospacing="0" w:after="0" w:afterAutospacing="0" w:line="360" w:lineRule="auto"/>
        <w:ind w:firstLine="560" w:firstLineChars="200"/>
        <w:jc w:val="both"/>
        <w:textAlignment w:val="auto"/>
        <w:outlineLvl w:val="2"/>
        <w:rPr>
          <w:rFonts w:hint="default" w:ascii="仿宋_GB2312" w:hAnsi="仿宋_GB2312" w:eastAsia="仿宋_GB2312" w:cs="仿宋_GB2312"/>
          <w:b w:val="0"/>
          <w:bCs w:val="0"/>
          <w:sz w:val="28"/>
          <w:szCs w:val="28"/>
          <w:highlight w:val="none"/>
          <w:lang w:val="en-US" w:eastAsia="zh-CN"/>
        </w:rPr>
      </w:pPr>
      <w:bookmarkStart w:id="70" w:name="_Toc20265"/>
      <w:bookmarkStart w:id="71" w:name="_Toc365"/>
      <w:r>
        <w:rPr>
          <w:rFonts w:hint="eastAsia" w:ascii="仿宋_GB2312" w:hAnsi="仿宋_GB2312" w:eastAsia="仿宋_GB2312" w:cs="仿宋_GB2312"/>
          <w:b w:val="0"/>
          <w:bCs w:val="0"/>
          <w:sz w:val="28"/>
          <w:szCs w:val="28"/>
          <w:highlight w:val="none"/>
          <w:lang w:val="en-US" w:eastAsia="zh-CN"/>
        </w:rPr>
        <w:t>2.补贴扶持农牧民棚圈建设项目，以户为单位，农牧户按要求先自建，竣工后由镇政府组织验收，验收合格后通过一卡通将补贴资金发放至建设户。该项目投资额度为205万元，2022年实施146户，发放补贴资金233.8万元，超项目投资额28.8万元，超支14.05%，资金缺口来源于通网试点工程结余资金。</w:t>
      </w:r>
      <w:bookmarkEnd w:id="70"/>
      <w:bookmarkEnd w:id="71"/>
    </w:p>
    <w:p>
      <w:pPr>
        <w:pStyle w:val="10"/>
        <w:widowControl w:val="0"/>
        <w:wordWrap/>
        <w:adjustRightInd/>
        <w:snapToGrid/>
        <w:spacing w:before="0" w:beforeAutospacing="0" w:after="0" w:afterAutospacing="0" w:line="360" w:lineRule="auto"/>
        <w:ind w:firstLine="560" w:firstLineChars="200"/>
        <w:jc w:val="both"/>
        <w:textAlignment w:val="auto"/>
        <w:outlineLvl w:val="2"/>
        <w:rPr>
          <w:rFonts w:hint="eastAsia" w:ascii="仿宋_GB2312" w:hAnsi="仿宋_GB2312" w:eastAsia="仿宋_GB2312" w:cs="仿宋_GB2312"/>
          <w:b w:val="0"/>
          <w:bCs w:val="0"/>
          <w:sz w:val="28"/>
          <w:szCs w:val="28"/>
          <w:highlight w:val="none"/>
          <w:lang w:val="en-US" w:eastAsia="zh-CN"/>
        </w:rPr>
      </w:pPr>
      <w:bookmarkStart w:id="72" w:name="_Toc19488"/>
      <w:bookmarkStart w:id="73" w:name="_Toc29808"/>
      <w:r>
        <w:rPr>
          <w:rFonts w:hint="eastAsia" w:ascii="仿宋_GB2312" w:hAnsi="仿宋_GB2312" w:eastAsia="仿宋_GB2312" w:cs="仿宋_GB2312"/>
          <w:b w:val="0"/>
          <w:bCs w:val="0"/>
          <w:sz w:val="28"/>
          <w:szCs w:val="28"/>
          <w:highlight w:val="none"/>
          <w:lang w:val="en-US" w:eastAsia="zh-CN"/>
        </w:rPr>
        <w:t>3.肉牛、肉羊养殖补贴项目</w:t>
      </w:r>
      <w:bookmarkEnd w:id="72"/>
      <w:bookmarkEnd w:id="73"/>
    </w:p>
    <w:p>
      <w:pPr>
        <w:pStyle w:val="10"/>
        <w:widowControl w:val="0"/>
        <w:wordWrap/>
        <w:adjustRightInd/>
        <w:snapToGrid/>
        <w:spacing w:before="0" w:beforeAutospacing="0" w:after="0" w:afterAutospacing="0" w:line="360" w:lineRule="auto"/>
        <w:ind w:firstLine="560" w:firstLineChars="200"/>
        <w:jc w:val="both"/>
        <w:textAlignment w:val="auto"/>
        <w:outlineLvl w:val="2"/>
        <w:rPr>
          <w:rFonts w:hint="eastAsia" w:ascii="仿宋_GB2312" w:hAnsi="仿宋_GB2312" w:eastAsia="仿宋_GB2312" w:cs="仿宋_GB2312"/>
          <w:b w:val="0"/>
          <w:bCs w:val="0"/>
          <w:sz w:val="28"/>
          <w:szCs w:val="28"/>
          <w:highlight w:val="none"/>
          <w:lang w:val="en-US" w:eastAsia="zh-CN"/>
        </w:rPr>
      </w:pPr>
      <w:bookmarkStart w:id="74" w:name="_Toc18787"/>
      <w:bookmarkStart w:id="75" w:name="_Toc22084"/>
      <w:r>
        <w:rPr>
          <w:rFonts w:hint="eastAsia" w:ascii="仿宋_GB2312" w:hAnsi="仿宋_GB2312" w:eastAsia="仿宋_GB2312" w:cs="仿宋_GB2312"/>
          <w:b w:val="0"/>
          <w:bCs w:val="0"/>
          <w:sz w:val="28"/>
          <w:szCs w:val="28"/>
          <w:highlight w:val="none"/>
          <w:lang w:val="en-US" w:eastAsia="zh-CN"/>
        </w:rPr>
        <w:t>项目投资额100万元，2022年引进100头纯种安格斯种母牛和777只绒山羊种母羊，经相关部门验收合格后，按照补贴标准一次性将补贴资金发放于养殖户一卡通账户，该项目发放补贴资金127.7万元，超项目投资额度27.7万元，超支27.7%，资金缺口来源于2022年其他民生实事人大票决制项目资金。</w:t>
      </w:r>
      <w:bookmarkEnd w:id="74"/>
      <w:bookmarkEnd w:id="75"/>
    </w:p>
    <w:p>
      <w:pPr>
        <w:pStyle w:val="10"/>
        <w:widowControl w:val="0"/>
        <w:wordWrap/>
        <w:adjustRightInd/>
        <w:snapToGrid/>
        <w:spacing w:before="0" w:beforeAutospacing="0" w:after="0" w:afterAutospacing="0" w:line="360" w:lineRule="auto"/>
        <w:ind w:firstLine="560" w:firstLineChars="200"/>
        <w:jc w:val="both"/>
        <w:textAlignment w:val="auto"/>
        <w:outlineLvl w:val="2"/>
        <w:rPr>
          <w:rFonts w:hint="default" w:ascii="仿宋_GB2312" w:hAnsi="仿宋_GB2312" w:eastAsia="仿宋_GB2312" w:cs="仿宋_GB2312"/>
          <w:b w:val="0"/>
          <w:bCs w:val="0"/>
          <w:sz w:val="28"/>
          <w:szCs w:val="28"/>
          <w:highlight w:val="none"/>
          <w:lang w:val="en-US" w:eastAsia="zh-CN"/>
        </w:rPr>
      </w:pPr>
      <w:bookmarkStart w:id="76" w:name="_Toc8537"/>
      <w:bookmarkStart w:id="77" w:name="_Toc15666"/>
      <w:r>
        <w:rPr>
          <w:rFonts w:hint="eastAsia" w:ascii="仿宋_GB2312" w:hAnsi="仿宋_GB2312" w:eastAsia="仿宋_GB2312" w:cs="仿宋_GB2312"/>
          <w:b w:val="0"/>
          <w:bCs w:val="0"/>
          <w:sz w:val="28"/>
          <w:szCs w:val="28"/>
          <w:highlight w:val="none"/>
          <w:lang w:val="en-US" w:eastAsia="zh-CN"/>
        </w:rPr>
        <w:t>4</w:t>
      </w:r>
      <w:r>
        <w:rPr>
          <w:rFonts w:hint="default" w:ascii="仿宋_GB2312" w:hAnsi="仿宋_GB2312" w:eastAsia="仿宋_GB2312" w:cs="仿宋_GB2312"/>
          <w:b w:val="0"/>
          <w:bCs w:val="0"/>
          <w:sz w:val="28"/>
          <w:szCs w:val="28"/>
          <w:highlight w:val="none"/>
          <w:lang w:val="en-US" w:eastAsia="zh-CN"/>
        </w:rPr>
        <w:t>.图克镇安全住房改造项目</w:t>
      </w:r>
      <w:bookmarkEnd w:id="76"/>
      <w:bookmarkEnd w:id="77"/>
    </w:p>
    <w:p>
      <w:pPr>
        <w:pStyle w:val="10"/>
        <w:widowControl w:val="0"/>
        <w:wordWrap/>
        <w:adjustRightInd/>
        <w:snapToGrid/>
        <w:spacing w:before="0" w:beforeAutospacing="0" w:after="0" w:afterAutospacing="0" w:line="360" w:lineRule="auto"/>
        <w:ind w:firstLine="560" w:firstLineChars="200"/>
        <w:jc w:val="both"/>
        <w:textAlignment w:val="auto"/>
        <w:outlineLvl w:val="2"/>
        <w:rPr>
          <w:rFonts w:hint="default" w:ascii="仿宋_GB2312" w:hAnsi="仿宋_GB2312" w:eastAsia="仿宋_GB2312" w:cs="仿宋_GB2312"/>
          <w:b w:val="0"/>
          <w:bCs w:val="0"/>
          <w:sz w:val="28"/>
          <w:szCs w:val="28"/>
          <w:highlight w:val="none"/>
          <w:lang w:val="en-US" w:eastAsia="zh-CN"/>
        </w:rPr>
      </w:pPr>
      <w:bookmarkStart w:id="78" w:name="_Toc32155"/>
      <w:bookmarkStart w:id="79" w:name="_Toc7945"/>
      <w:r>
        <w:rPr>
          <w:rFonts w:hint="default" w:ascii="仿宋_GB2312" w:hAnsi="仿宋_GB2312" w:eastAsia="仿宋_GB2312" w:cs="仿宋_GB2312"/>
          <w:b w:val="0"/>
          <w:bCs w:val="0"/>
          <w:sz w:val="28"/>
          <w:szCs w:val="28"/>
          <w:highlight w:val="none"/>
          <w:lang w:val="en-US" w:eastAsia="zh-CN"/>
        </w:rPr>
        <w:t>2022年葫芦素村、乌兰什巴台村、陶报嘎查、达汉庙嘎查、图呼勒岱嘎查、黄陶勒盖嘎查、呼吉尔特村实施危房改造工程，该工程有农牧户自行申请</w:t>
      </w:r>
      <w:r>
        <w:rPr>
          <w:rFonts w:hint="eastAsia" w:ascii="仿宋_GB2312" w:hAnsi="仿宋_GB2312" w:eastAsia="仿宋_GB2312" w:cs="仿宋_GB2312"/>
          <w:b w:val="0"/>
          <w:bCs w:val="0"/>
          <w:sz w:val="28"/>
          <w:szCs w:val="28"/>
          <w:highlight w:val="none"/>
          <w:lang w:val="en-US" w:eastAsia="zh-CN"/>
        </w:rPr>
        <w:t>、</w:t>
      </w:r>
      <w:r>
        <w:rPr>
          <w:rFonts w:hint="default" w:ascii="仿宋_GB2312" w:hAnsi="仿宋_GB2312" w:eastAsia="仿宋_GB2312" w:cs="仿宋_GB2312"/>
          <w:b w:val="0"/>
          <w:bCs w:val="0"/>
          <w:sz w:val="28"/>
          <w:szCs w:val="28"/>
          <w:highlight w:val="none"/>
          <w:lang w:val="en-US" w:eastAsia="zh-CN"/>
        </w:rPr>
        <w:t>自行建设，经验收合格后每户给予1.5万元补助。该项目预算资金45万元，实际实施18户，支付农户补贴款27万元</w:t>
      </w:r>
      <w:r>
        <w:rPr>
          <w:rFonts w:hint="eastAsia" w:ascii="仿宋_GB2312" w:hAnsi="仿宋_GB2312" w:eastAsia="仿宋_GB2312" w:cs="仿宋_GB2312"/>
          <w:b w:val="0"/>
          <w:bCs w:val="0"/>
          <w:sz w:val="28"/>
          <w:szCs w:val="28"/>
          <w:highlight w:val="none"/>
          <w:lang w:val="en-US" w:eastAsia="zh-CN"/>
        </w:rPr>
        <w:t>，结余资金18万元，资金结余率40%</w:t>
      </w:r>
      <w:r>
        <w:rPr>
          <w:rFonts w:hint="default" w:ascii="仿宋_GB2312" w:hAnsi="仿宋_GB2312" w:eastAsia="仿宋_GB2312" w:cs="仿宋_GB2312"/>
          <w:b w:val="0"/>
          <w:bCs w:val="0"/>
          <w:sz w:val="28"/>
          <w:szCs w:val="28"/>
          <w:highlight w:val="none"/>
          <w:lang w:val="en-US" w:eastAsia="zh-CN"/>
        </w:rPr>
        <w:t>。</w:t>
      </w:r>
      <w:bookmarkEnd w:id="78"/>
      <w:bookmarkEnd w:id="79"/>
    </w:p>
    <w:p>
      <w:pPr>
        <w:pStyle w:val="10"/>
        <w:widowControl w:val="0"/>
        <w:wordWrap/>
        <w:adjustRightInd/>
        <w:snapToGrid/>
        <w:spacing w:before="0" w:beforeAutospacing="0" w:after="0" w:afterAutospacing="0" w:line="360" w:lineRule="auto"/>
        <w:ind w:firstLine="562" w:firstLineChars="200"/>
        <w:jc w:val="both"/>
        <w:textAlignment w:val="auto"/>
        <w:outlineLvl w:val="2"/>
        <w:rPr>
          <w:rFonts w:hint="eastAsia" w:ascii="仿宋_GB2312" w:hAnsi="仿宋_GB2312" w:eastAsia="仿宋_GB2312" w:cs="仿宋_GB2312"/>
          <w:b/>
          <w:bCs/>
          <w:sz w:val="28"/>
          <w:szCs w:val="28"/>
          <w:highlight w:val="none"/>
        </w:rPr>
      </w:pPr>
      <w:bookmarkStart w:id="80" w:name="_Toc14417"/>
      <w:bookmarkStart w:id="81" w:name="_Toc397"/>
      <w:r>
        <w:rPr>
          <w:rFonts w:hint="eastAsia" w:ascii="仿宋_GB2312" w:hAnsi="仿宋_GB2312" w:eastAsia="仿宋_GB2312" w:cs="仿宋_GB2312"/>
          <w:b/>
          <w:bCs/>
          <w:sz w:val="28"/>
          <w:szCs w:val="28"/>
          <w:highlight w:val="none"/>
          <w:lang w:val="en-US" w:eastAsia="zh-CN"/>
        </w:rPr>
        <w:t>（三）财政资金支出率较低</w:t>
      </w:r>
      <w:bookmarkEnd w:id="80"/>
      <w:bookmarkEnd w:id="81"/>
    </w:p>
    <w:p>
      <w:pPr>
        <w:pStyle w:val="10"/>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图克镇2022年度实施了五个民生实事人大代表票决制项目，</w:t>
      </w:r>
      <w:r>
        <w:rPr>
          <w:rFonts w:hint="eastAsia" w:ascii="仿宋_GB2312" w:hAnsi="仿宋_GB2312" w:eastAsia="仿宋_GB2312" w:cs="仿宋_GB2312"/>
          <w:b w:val="0"/>
          <w:bCs w:val="0"/>
          <w:sz w:val="28"/>
          <w:szCs w:val="28"/>
          <w:highlight w:val="none"/>
          <w:lang w:val="en-US" w:eastAsia="zh-CN"/>
        </w:rPr>
        <w:t>年初预算安排500万元，2022年实际发放补贴和支付工程款150万元，预算执行率30%。资金实际投入低于计划投入，项目支出完成情况较差，</w:t>
      </w:r>
      <w:r>
        <w:rPr>
          <w:rFonts w:hint="eastAsia" w:ascii="仿宋_GB2312" w:hAnsi="仿宋_GB2312" w:eastAsia="仿宋_GB2312" w:cs="仿宋_GB2312"/>
          <w:sz w:val="28"/>
          <w:szCs w:val="28"/>
          <w:highlight w:val="none"/>
          <w:lang w:val="en-US" w:eastAsia="zh-CN"/>
        </w:rPr>
        <w:t>未支出资金的原因主要为财政财力不足而导致延期拨付。</w:t>
      </w:r>
    </w:p>
    <w:p>
      <w:pPr>
        <w:pStyle w:val="10"/>
        <w:widowControl w:val="0"/>
        <w:wordWrap/>
        <w:adjustRightInd/>
        <w:snapToGrid/>
        <w:spacing w:before="0" w:beforeAutospacing="0" w:after="0" w:afterAutospacing="0" w:line="360" w:lineRule="auto"/>
        <w:ind w:firstLine="562" w:firstLineChars="200"/>
        <w:jc w:val="both"/>
        <w:textAlignment w:val="auto"/>
        <w:outlineLvl w:val="2"/>
        <w:rPr>
          <w:rFonts w:hint="eastAsia" w:ascii="仿宋_GB2312" w:hAnsi="仿宋_GB2312" w:eastAsia="仿宋_GB2312" w:cs="仿宋_GB2312"/>
          <w:b/>
          <w:bCs/>
          <w:sz w:val="28"/>
          <w:szCs w:val="28"/>
        </w:rPr>
      </w:pPr>
      <w:bookmarkStart w:id="82" w:name="_Toc7700"/>
      <w:bookmarkStart w:id="83" w:name="_Toc26544"/>
      <w:r>
        <w:rPr>
          <w:rFonts w:hint="eastAsia" w:ascii="仿宋_GB2312" w:hAnsi="仿宋_GB2312" w:eastAsia="仿宋_GB2312" w:cs="仿宋_GB2312"/>
          <w:b/>
          <w:bCs/>
          <w:sz w:val="28"/>
          <w:szCs w:val="28"/>
          <w:lang w:val="en-US" w:eastAsia="zh-CN"/>
        </w:rPr>
        <w:t>（四）</w:t>
      </w:r>
      <w:r>
        <w:rPr>
          <w:rFonts w:hint="eastAsia" w:ascii="仿宋_GB2312" w:hAnsi="仿宋_GB2312" w:eastAsia="仿宋_GB2312" w:cs="仿宋_GB2312"/>
          <w:b/>
          <w:bCs/>
          <w:sz w:val="28"/>
          <w:szCs w:val="28"/>
        </w:rPr>
        <w:t>资金支付不规范，内控建设有待加强</w:t>
      </w:r>
      <w:bookmarkEnd w:id="82"/>
      <w:bookmarkEnd w:id="83"/>
    </w:p>
    <w:p>
      <w:pPr>
        <w:pStyle w:val="10"/>
        <w:widowControl w:val="0"/>
        <w:wordWrap/>
        <w:adjustRightInd/>
        <w:snapToGrid/>
        <w:spacing w:before="0" w:beforeAutospacing="0" w:after="0" w:afterAutospacing="0" w:line="360" w:lineRule="auto"/>
        <w:ind w:firstLine="560" w:firstLineChars="200"/>
        <w:jc w:val="both"/>
        <w:textAlignment w:val="auto"/>
        <w:outlineLvl w:val="2"/>
        <w:rPr>
          <w:rFonts w:hint="eastAsia" w:ascii="仿宋_GB2312" w:hAnsi="仿宋_GB2312" w:eastAsia="仿宋_GB2312" w:cs="仿宋_GB2312"/>
          <w:b/>
          <w:bCs/>
          <w:sz w:val="28"/>
          <w:szCs w:val="28"/>
          <w:lang w:val="en-US" w:eastAsia="zh-CN"/>
        </w:rPr>
      </w:pPr>
      <w:bookmarkStart w:id="84" w:name="_Toc4418"/>
      <w:bookmarkStart w:id="85" w:name="_Toc10163"/>
      <w:r>
        <w:rPr>
          <w:rFonts w:hint="eastAsia" w:ascii="仿宋_GB2312" w:hAnsi="仿宋_GB2312" w:eastAsia="仿宋_GB2312" w:cs="仿宋_GB2312"/>
          <w:sz w:val="28"/>
          <w:szCs w:val="28"/>
          <w:highlight w:val="none"/>
          <w:lang w:val="en-US" w:eastAsia="zh-CN"/>
        </w:rPr>
        <w:t>旧城改造中的街道绿化项目，2023年1月16日支付进度款220,380.00元，报销单审核领导未签字，截止2023年1月份已全额支付工程款，未按一定比例预留工程质保金。</w:t>
      </w:r>
      <w:bookmarkEnd w:id="84"/>
      <w:bookmarkEnd w:id="85"/>
    </w:p>
    <w:p>
      <w:pPr>
        <w:pStyle w:val="10"/>
        <w:widowControl w:val="0"/>
        <w:wordWrap/>
        <w:adjustRightInd/>
        <w:snapToGrid/>
        <w:spacing w:before="0" w:beforeAutospacing="0" w:after="0" w:afterAutospacing="0" w:line="360" w:lineRule="auto"/>
        <w:ind w:firstLine="562" w:firstLineChars="200"/>
        <w:jc w:val="both"/>
        <w:textAlignment w:val="auto"/>
        <w:outlineLvl w:val="2"/>
        <w:rPr>
          <w:rFonts w:hint="default" w:ascii="仿宋_GB2312" w:hAnsi="仿宋_GB2312" w:eastAsia="仿宋_GB2312" w:cs="仿宋_GB2312"/>
          <w:b/>
          <w:bCs/>
          <w:sz w:val="28"/>
          <w:szCs w:val="28"/>
          <w:highlight w:val="none"/>
          <w:lang w:val="en-US" w:eastAsia="zh-CN"/>
        </w:rPr>
      </w:pPr>
      <w:bookmarkStart w:id="86" w:name="_Toc10987"/>
      <w:bookmarkStart w:id="87" w:name="_Toc10988"/>
      <w:r>
        <w:rPr>
          <w:rFonts w:hint="eastAsia" w:ascii="仿宋_GB2312" w:hAnsi="仿宋_GB2312" w:eastAsia="仿宋_GB2312" w:cs="仿宋_GB2312"/>
          <w:b/>
          <w:bCs/>
          <w:sz w:val="28"/>
          <w:szCs w:val="28"/>
          <w:highlight w:val="none"/>
          <w:lang w:val="en-US" w:eastAsia="zh-CN"/>
        </w:rPr>
        <w:t>（五）项目管理制度不完善</w:t>
      </w:r>
      <w:bookmarkEnd w:id="86"/>
      <w:bookmarkEnd w:id="87"/>
    </w:p>
    <w:p>
      <w:pPr>
        <w:pStyle w:val="10"/>
        <w:widowControl w:val="0"/>
        <w:wordWrap/>
        <w:adjustRightInd/>
        <w:snapToGrid/>
        <w:spacing w:before="0" w:beforeAutospacing="0" w:after="0" w:afterAutospacing="0" w:line="360" w:lineRule="auto"/>
        <w:ind w:firstLine="560" w:firstLineChars="200"/>
        <w:jc w:val="both"/>
        <w:textAlignment w:val="auto"/>
        <w:outlineLvl w:val="2"/>
        <w:rPr>
          <w:rFonts w:hint="eastAsia" w:ascii="仿宋_GB2312" w:hAnsi="仿宋_GB2312" w:eastAsia="仿宋_GB2312" w:cs="仿宋_GB2312"/>
          <w:b/>
          <w:bCs/>
          <w:sz w:val="28"/>
          <w:szCs w:val="28"/>
          <w:highlight w:val="none"/>
          <w:lang w:val="en-US" w:eastAsia="zh-CN"/>
        </w:rPr>
      </w:pPr>
      <w:bookmarkStart w:id="88" w:name="_Toc8838"/>
      <w:bookmarkStart w:id="89" w:name="_Toc18418"/>
      <w:r>
        <w:rPr>
          <w:rFonts w:hint="eastAsia" w:ascii="仿宋_GB2312" w:hAnsi="仿宋_GB2312" w:eastAsia="仿宋_GB2312" w:cs="仿宋_GB2312"/>
          <w:b w:val="0"/>
          <w:bCs w:val="0"/>
          <w:sz w:val="28"/>
          <w:szCs w:val="28"/>
          <w:highlight w:val="none"/>
          <w:lang w:val="en-US" w:eastAsia="zh-CN"/>
        </w:rPr>
        <w:t>图克镇未制定具体工程项目管理制度及流程，项目管理制度不健全，缺乏对项目顺利实施的保障程度。</w:t>
      </w:r>
      <w:bookmarkEnd w:id="88"/>
      <w:bookmarkEnd w:id="89"/>
    </w:p>
    <w:p>
      <w:pPr>
        <w:pStyle w:val="10"/>
        <w:widowControl w:val="0"/>
        <w:wordWrap/>
        <w:adjustRightInd/>
        <w:snapToGrid/>
        <w:spacing w:before="0" w:beforeAutospacing="0" w:after="0" w:afterAutospacing="0" w:line="360" w:lineRule="auto"/>
        <w:ind w:firstLine="562" w:firstLineChars="200"/>
        <w:jc w:val="both"/>
        <w:textAlignment w:val="auto"/>
        <w:outlineLvl w:val="2"/>
        <w:rPr>
          <w:rFonts w:hint="eastAsia" w:ascii="仿宋_GB2312" w:hAnsi="仿宋_GB2312" w:eastAsia="仿宋_GB2312" w:cs="仿宋_GB2312"/>
          <w:b/>
          <w:bCs/>
          <w:sz w:val="28"/>
          <w:szCs w:val="28"/>
          <w:highlight w:val="none"/>
          <w:lang w:val="en-US" w:eastAsia="zh-CN"/>
        </w:rPr>
      </w:pPr>
      <w:bookmarkStart w:id="90" w:name="_Toc10237"/>
      <w:bookmarkStart w:id="91" w:name="_Toc5860"/>
      <w:r>
        <w:rPr>
          <w:rFonts w:hint="eastAsia" w:ascii="仿宋_GB2312" w:hAnsi="仿宋_GB2312" w:eastAsia="仿宋_GB2312" w:cs="仿宋_GB2312"/>
          <w:b/>
          <w:bCs/>
          <w:sz w:val="28"/>
          <w:szCs w:val="28"/>
          <w:highlight w:val="none"/>
          <w:lang w:val="en-US" w:eastAsia="zh-CN"/>
        </w:rPr>
        <w:t>（六）合同签订内容不完整</w:t>
      </w:r>
      <w:bookmarkEnd w:id="90"/>
      <w:bookmarkEnd w:id="91"/>
    </w:p>
    <w:p>
      <w:pPr>
        <w:pStyle w:val="10"/>
        <w:widowControl w:val="0"/>
        <w:wordWrap/>
        <w:adjustRightInd/>
        <w:snapToGrid/>
        <w:spacing w:before="0" w:beforeAutospacing="0" w:after="0" w:afterAutospacing="0" w:line="360" w:lineRule="auto"/>
        <w:ind w:firstLine="560" w:firstLineChars="200"/>
        <w:jc w:val="both"/>
        <w:textAlignment w:val="auto"/>
        <w:outlineLvl w:val="2"/>
        <w:rPr>
          <w:rFonts w:hint="eastAsia" w:ascii="仿宋_GB2312" w:hAnsi="仿宋_GB2312" w:eastAsia="仿宋_GB2312" w:cs="仿宋_GB2312"/>
          <w:b w:val="0"/>
          <w:bCs w:val="0"/>
          <w:sz w:val="28"/>
          <w:szCs w:val="28"/>
          <w:highlight w:val="none"/>
          <w:lang w:val="en-US" w:eastAsia="zh-CN"/>
        </w:rPr>
      </w:pPr>
      <w:bookmarkStart w:id="92" w:name="_Toc28010"/>
      <w:bookmarkStart w:id="93" w:name="_Toc8438"/>
      <w:r>
        <w:rPr>
          <w:rFonts w:hint="eastAsia" w:ascii="仿宋_GB2312" w:hAnsi="仿宋_GB2312" w:eastAsia="仿宋_GB2312" w:cs="仿宋_GB2312"/>
          <w:b w:val="0"/>
          <w:bCs w:val="0"/>
          <w:sz w:val="28"/>
          <w:szCs w:val="28"/>
          <w:highlight w:val="none"/>
          <w:lang w:val="en-US" w:eastAsia="zh-CN"/>
        </w:rPr>
        <w:t>1.街道绿化项目，2022年7月4日镇政府与乌审旗兴百劳务服务有限公司签订的政府采购合同，合同金额40.35万元，未明确约定开工日期和完工日期，未约定质保金。</w:t>
      </w:r>
      <w:bookmarkEnd w:id="92"/>
      <w:bookmarkEnd w:id="93"/>
    </w:p>
    <w:p>
      <w:pPr>
        <w:pStyle w:val="10"/>
        <w:widowControl w:val="0"/>
        <w:wordWrap/>
        <w:adjustRightInd/>
        <w:snapToGrid/>
        <w:spacing w:before="0" w:beforeAutospacing="0" w:after="0" w:afterAutospacing="0" w:line="360" w:lineRule="auto"/>
        <w:ind w:firstLine="560" w:firstLineChars="200"/>
        <w:jc w:val="both"/>
        <w:textAlignment w:val="auto"/>
        <w:outlineLvl w:val="2"/>
        <w:rPr>
          <w:rFonts w:hint="eastAsia" w:ascii="仿宋_GB2312" w:hAnsi="仿宋_GB2312" w:eastAsia="仿宋_GB2312" w:cs="仿宋_GB2312"/>
          <w:b w:val="0"/>
          <w:bCs w:val="0"/>
          <w:sz w:val="28"/>
          <w:szCs w:val="28"/>
          <w:highlight w:val="none"/>
          <w:lang w:val="en-US" w:eastAsia="zh-CN"/>
        </w:rPr>
      </w:pPr>
      <w:bookmarkStart w:id="94" w:name="_Toc16228"/>
      <w:bookmarkStart w:id="95" w:name="_Toc28526"/>
      <w:r>
        <w:rPr>
          <w:rFonts w:hint="eastAsia" w:ascii="仿宋_GB2312" w:hAnsi="仿宋_GB2312" w:eastAsia="仿宋_GB2312" w:cs="仿宋_GB2312"/>
          <w:b w:val="0"/>
          <w:bCs w:val="0"/>
          <w:sz w:val="28"/>
          <w:szCs w:val="28"/>
          <w:highlight w:val="none"/>
          <w:lang w:val="en-US" w:eastAsia="zh-CN"/>
        </w:rPr>
        <w:t>2.市政道路灌缝补路项目，2022年7月12日镇政府与乌审旗圆顺劳务服务有限公司签订的政府采购合同，合同金额59.65万元，未明确约定开工日期和完工日期，未约定质保金。</w:t>
      </w:r>
      <w:bookmarkEnd w:id="94"/>
      <w:bookmarkEnd w:id="95"/>
    </w:p>
    <w:p>
      <w:pPr>
        <w:pStyle w:val="10"/>
        <w:widowControl w:val="0"/>
        <w:wordWrap/>
        <w:adjustRightInd/>
        <w:snapToGrid/>
        <w:spacing w:before="0" w:beforeAutospacing="0" w:after="0" w:afterAutospacing="0" w:line="360" w:lineRule="auto"/>
        <w:ind w:firstLine="560" w:firstLineChars="200"/>
        <w:jc w:val="both"/>
        <w:textAlignment w:val="auto"/>
        <w:outlineLvl w:val="2"/>
        <w:rPr>
          <w:rFonts w:hint="eastAsia" w:ascii="仿宋_GB2312" w:hAnsi="仿宋_GB2312" w:eastAsia="仿宋_GB2312" w:cs="仿宋_GB2312"/>
          <w:b w:val="0"/>
          <w:bCs w:val="0"/>
          <w:sz w:val="28"/>
          <w:szCs w:val="28"/>
          <w:highlight w:val="none"/>
          <w:lang w:val="en-US" w:eastAsia="zh-CN"/>
        </w:rPr>
      </w:pPr>
      <w:bookmarkStart w:id="96" w:name="_Toc2507"/>
      <w:bookmarkStart w:id="97" w:name="_Toc14212"/>
      <w:r>
        <w:rPr>
          <w:rFonts w:hint="eastAsia" w:ascii="仿宋_GB2312" w:hAnsi="仿宋_GB2312" w:eastAsia="仿宋_GB2312" w:cs="仿宋_GB2312"/>
          <w:b w:val="0"/>
          <w:bCs w:val="0"/>
          <w:sz w:val="28"/>
          <w:szCs w:val="28"/>
          <w:highlight w:val="none"/>
          <w:lang w:val="en-US" w:eastAsia="zh-CN"/>
        </w:rPr>
        <w:t>3.通网试点工程，中国移动益达营业厅与农户个人签订的宽带接入合作协议未约定开工日期和完工日期，中国移动益达营业厅未盖章签字，合同的有效性存在疑义。</w:t>
      </w:r>
      <w:bookmarkEnd w:id="96"/>
      <w:bookmarkEnd w:id="97"/>
    </w:p>
    <w:p>
      <w:pPr>
        <w:pStyle w:val="10"/>
        <w:widowControl w:val="0"/>
        <w:wordWrap/>
        <w:adjustRightInd/>
        <w:snapToGrid/>
        <w:spacing w:before="0" w:beforeAutospacing="0" w:after="0" w:afterAutospacing="0" w:line="360" w:lineRule="auto"/>
        <w:ind w:firstLine="562" w:firstLineChars="200"/>
        <w:jc w:val="both"/>
        <w:textAlignment w:val="auto"/>
        <w:outlineLvl w:val="2"/>
        <w:rPr>
          <w:rFonts w:hint="eastAsia" w:ascii="仿宋_GB2312" w:hAnsi="仿宋_GB2312" w:eastAsia="仿宋_GB2312" w:cs="仿宋_GB2312"/>
          <w:b/>
          <w:bCs/>
          <w:sz w:val="28"/>
          <w:szCs w:val="28"/>
          <w:highlight w:val="none"/>
          <w:lang w:val="en-US" w:eastAsia="zh-CN"/>
        </w:rPr>
      </w:pPr>
      <w:bookmarkStart w:id="98" w:name="_Toc30958"/>
      <w:bookmarkStart w:id="99" w:name="_Toc21400"/>
      <w:r>
        <w:rPr>
          <w:rFonts w:hint="eastAsia" w:ascii="仿宋_GB2312" w:hAnsi="仿宋_GB2312" w:eastAsia="仿宋_GB2312" w:cs="仿宋_GB2312"/>
          <w:b/>
          <w:bCs/>
          <w:sz w:val="28"/>
          <w:szCs w:val="28"/>
          <w:highlight w:val="none"/>
          <w:lang w:val="en-US" w:eastAsia="zh-CN"/>
        </w:rPr>
        <w:t>（七）绩效理念不强，绩效管理工作有待提高</w:t>
      </w:r>
      <w:bookmarkEnd w:id="98"/>
      <w:bookmarkEnd w:id="99"/>
    </w:p>
    <w:p>
      <w:pPr>
        <w:pStyle w:val="10"/>
        <w:widowControl w:val="0"/>
        <w:wordWrap/>
        <w:adjustRightInd/>
        <w:snapToGrid/>
        <w:spacing w:before="0" w:beforeAutospacing="0" w:after="0" w:afterAutospacing="0" w:line="360" w:lineRule="auto"/>
        <w:ind w:firstLine="560" w:firstLineChars="200"/>
        <w:jc w:val="both"/>
        <w:textAlignment w:val="auto"/>
        <w:outlineLvl w:val="1"/>
        <w:rPr>
          <w:rFonts w:hint="eastAsia" w:ascii="仿宋_GB2312" w:hAnsi="仿宋_GB2312" w:eastAsia="仿宋_GB2312" w:cs="仿宋_GB2312"/>
          <w:b/>
          <w:bCs/>
          <w:sz w:val="28"/>
          <w:szCs w:val="28"/>
        </w:rPr>
      </w:pPr>
      <w:bookmarkStart w:id="100" w:name="_Toc27900"/>
      <w:bookmarkStart w:id="101" w:name="_Toc7039"/>
      <w:r>
        <w:rPr>
          <w:rFonts w:hint="eastAsia" w:ascii="仿宋_GB2312" w:hAnsi="仿宋_GB2312" w:eastAsia="仿宋_GB2312" w:cs="仿宋_GB2312"/>
          <w:sz w:val="28"/>
          <w:szCs w:val="28"/>
          <w:highlight w:val="none"/>
          <w:lang w:val="en-US" w:eastAsia="zh-CN"/>
        </w:rPr>
        <w:t>根据现场访谈及调研，存在未按要求申报绩效目标，在自评工作中未按要求编写自评报告，未设置规范的指标体系，缺乏必要的佐证材料等现象。</w:t>
      </w:r>
      <w:bookmarkEnd w:id="100"/>
      <w:bookmarkEnd w:id="101"/>
    </w:p>
    <w:p>
      <w:pPr>
        <w:spacing w:before="0" w:beforeLines="0" w:after="0" w:afterLines="0" w:line="240" w:lineRule="auto"/>
        <w:ind w:left="0" w:leftChars="0" w:right="0" w:firstLine="0" w:firstLineChars="0"/>
        <w:jc w:val="center"/>
        <w:rPr>
          <w:rFonts w:ascii="宋体" w:hAnsi="宋体" w:eastAsia="宋体"/>
          <w:sz w:val="21"/>
        </w:rPr>
      </w:pPr>
    </w:p>
    <w:p>
      <w:pPr>
        <w:spacing w:before="0" w:beforeLines="0" w:after="0" w:afterLines="0" w:line="240" w:lineRule="auto"/>
        <w:ind w:left="0" w:leftChars="0" w:right="0" w:firstLine="0" w:firstLineChars="0"/>
        <w:jc w:val="center"/>
        <w:rPr>
          <w:rFonts w:ascii="宋体" w:hAnsi="宋体" w:eastAsia="宋体"/>
          <w:sz w:val="21"/>
        </w:rPr>
      </w:pPr>
    </w:p>
    <w:p>
      <w:pPr>
        <w:spacing w:before="0" w:beforeLines="0" w:after="0" w:afterLines="0" w:line="240" w:lineRule="auto"/>
        <w:ind w:left="0" w:leftChars="0" w:right="0" w:firstLine="0" w:firstLineChars="0"/>
        <w:jc w:val="center"/>
        <w:rPr>
          <w:rFonts w:ascii="宋体" w:hAnsi="宋体" w:eastAsia="宋体"/>
          <w:sz w:val="21"/>
        </w:rPr>
      </w:pPr>
    </w:p>
    <w:p>
      <w:pPr>
        <w:spacing w:before="0" w:beforeLines="0" w:after="0" w:afterLines="0" w:line="240" w:lineRule="auto"/>
        <w:ind w:left="0" w:leftChars="0" w:right="0" w:firstLine="0" w:firstLineChars="0"/>
        <w:jc w:val="center"/>
        <w:rPr>
          <w:rFonts w:ascii="宋体" w:hAnsi="宋体" w:eastAsia="宋体"/>
          <w:sz w:val="21"/>
        </w:rPr>
      </w:pPr>
    </w:p>
    <w:p>
      <w:pPr>
        <w:spacing w:before="0" w:beforeLines="0" w:after="0" w:afterLines="0" w:line="240" w:lineRule="auto"/>
        <w:ind w:left="0" w:leftChars="0" w:right="0" w:firstLine="0" w:firstLineChars="0"/>
        <w:jc w:val="center"/>
        <w:rPr>
          <w:rFonts w:ascii="宋体" w:hAnsi="宋体" w:eastAsia="宋体"/>
          <w:sz w:val="21"/>
        </w:rPr>
      </w:pPr>
    </w:p>
    <w:p>
      <w:pPr>
        <w:spacing w:before="0" w:beforeLines="0" w:after="0" w:afterLines="0" w:line="240" w:lineRule="auto"/>
        <w:ind w:left="0" w:leftChars="0" w:right="0" w:firstLine="0" w:firstLineChars="0"/>
        <w:jc w:val="center"/>
        <w:rPr>
          <w:rFonts w:ascii="宋体" w:hAnsi="宋体" w:eastAsia="宋体"/>
          <w:sz w:val="21"/>
        </w:rPr>
      </w:pPr>
    </w:p>
    <w:p>
      <w:pPr>
        <w:spacing w:before="0" w:beforeLines="0" w:after="0" w:afterLines="0" w:line="240" w:lineRule="auto"/>
        <w:ind w:left="0" w:leftChars="0" w:right="0" w:firstLine="0" w:firstLineChars="0"/>
        <w:jc w:val="center"/>
        <w:rPr>
          <w:rFonts w:ascii="宋体" w:hAnsi="宋体" w:eastAsia="宋体"/>
          <w:sz w:val="21"/>
        </w:rPr>
      </w:pPr>
    </w:p>
    <w:p>
      <w:pPr>
        <w:spacing w:before="0" w:beforeLines="0" w:after="0" w:afterLines="0" w:line="240" w:lineRule="auto"/>
        <w:ind w:left="0" w:leftChars="0" w:right="0" w:firstLine="0" w:firstLineChars="0"/>
        <w:jc w:val="center"/>
        <w:rPr>
          <w:rFonts w:ascii="宋体" w:hAnsi="宋体" w:eastAsia="宋体"/>
          <w:sz w:val="21"/>
        </w:rPr>
      </w:pPr>
    </w:p>
    <w:p>
      <w:pPr>
        <w:spacing w:before="0" w:beforeLines="0" w:after="0" w:afterLines="0" w:line="240" w:lineRule="auto"/>
        <w:ind w:left="0" w:leftChars="0" w:right="0" w:firstLine="0" w:firstLineChars="0"/>
        <w:jc w:val="center"/>
        <w:rPr>
          <w:rFonts w:ascii="宋体" w:hAnsi="宋体" w:eastAsia="宋体"/>
          <w:sz w:val="21"/>
        </w:rPr>
      </w:pPr>
    </w:p>
    <w:p>
      <w:pPr>
        <w:spacing w:before="0" w:beforeLines="0" w:after="0" w:afterLines="0" w:line="240" w:lineRule="auto"/>
        <w:ind w:left="0" w:leftChars="0" w:right="0" w:firstLine="0" w:firstLineChars="0"/>
        <w:jc w:val="center"/>
        <w:rPr>
          <w:rFonts w:ascii="宋体" w:hAnsi="宋体" w:eastAsia="宋体"/>
          <w:sz w:val="21"/>
        </w:rPr>
      </w:pPr>
    </w:p>
    <w:p>
      <w:pPr>
        <w:spacing w:before="0" w:beforeLines="0" w:after="0" w:afterLines="0" w:line="240" w:lineRule="auto"/>
        <w:ind w:left="0" w:leftChars="0" w:right="0" w:firstLine="0" w:firstLineChars="0"/>
        <w:jc w:val="center"/>
        <w:rPr>
          <w:rFonts w:ascii="宋体" w:hAnsi="宋体" w:eastAsia="宋体"/>
          <w:sz w:val="21"/>
        </w:rPr>
      </w:pPr>
    </w:p>
    <w:p>
      <w:pPr>
        <w:spacing w:before="0" w:beforeLines="0" w:after="0" w:afterLines="0" w:line="240" w:lineRule="auto"/>
        <w:ind w:left="0" w:leftChars="0" w:right="0" w:firstLine="0" w:firstLineChars="0"/>
        <w:jc w:val="center"/>
        <w:rPr>
          <w:rFonts w:ascii="宋体" w:hAnsi="宋体" w:eastAsia="宋体"/>
          <w:sz w:val="21"/>
        </w:rPr>
      </w:pPr>
    </w:p>
    <w:p>
      <w:pPr>
        <w:spacing w:before="0" w:beforeLines="0" w:after="0" w:afterLines="0" w:line="240" w:lineRule="auto"/>
        <w:ind w:left="0" w:leftChars="0" w:right="0" w:firstLine="0" w:firstLineChars="0"/>
        <w:jc w:val="center"/>
        <w:rPr>
          <w:rFonts w:ascii="宋体" w:hAnsi="宋体" w:eastAsia="宋体"/>
          <w:sz w:val="21"/>
        </w:rPr>
      </w:pPr>
    </w:p>
    <w:p>
      <w:pPr>
        <w:spacing w:before="0" w:beforeLines="0" w:after="0" w:afterLines="0" w:line="240" w:lineRule="auto"/>
        <w:ind w:left="0" w:leftChars="0" w:right="0" w:firstLine="0" w:firstLineChars="0"/>
        <w:jc w:val="center"/>
        <w:rPr>
          <w:rFonts w:ascii="宋体" w:hAnsi="宋体" w:eastAsia="宋体"/>
          <w:sz w:val="21"/>
        </w:rPr>
      </w:pPr>
    </w:p>
    <w:p>
      <w:pPr>
        <w:spacing w:before="0" w:beforeLines="0" w:after="0" w:afterLines="0" w:line="240" w:lineRule="auto"/>
        <w:ind w:left="0" w:leftChars="0" w:right="0" w:firstLine="0" w:firstLineChars="0"/>
        <w:jc w:val="center"/>
        <w:rPr>
          <w:rFonts w:ascii="宋体" w:hAnsi="宋体" w:eastAsia="宋体"/>
          <w:sz w:val="21"/>
        </w:rPr>
      </w:pPr>
    </w:p>
    <w:p>
      <w:pPr>
        <w:spacing w:before="0" w:beforeLines="0" w:after="0" w:afterLines="0" w:line="240" w:lineRule="auto"/>
        <w:ind w:left="0" w:leftChars="0" w:right="0" w:firstLine="0" w:firstLineChars="0"/>
        <w:jc w:val="center"/>
        <w:rPr>
          <w:rFonts w:ascii="宋体" w:hAnsi="宋体" w:eastAsia="宋体"/>
          <w:sz w:val="21"/>
        </w:rPr>
      </w:pPr>
    </w:p>
    <w:p>
      <w:pPr>
        <w:spacing w:before="0" w:beforeLines="0" w:after="0" w:afterLines="0" w:line="240" w:lineRule="auto"/>
        <w:ind w:left="0" w:leftChars="0" w:right="0" w:firstLine="0" w:firstLineChars="0"/>
        <w:jc w:val="center"/>
      </w:pPr>
      <w:r>
        <w:rPr>
          <w:rFonts w:ascii="宋体" w:hAnsi="宋体" w:eastAsia="宋体"/>
          <w:sz w:val="21"/>
        </w:rPr>
        <w:t>目录</w:t>
      </w:r>
    </w:p>
    <w:p>
      <w:pPr>
        <w:pStyle w:val="8"/>
        <w:tabs>
          <w:tab w:val="right" w:leader="dot" w:pos="8306"/>
        </w:tabs>
      </w:pPr>
      <w:r>
        <w:rPr>
          <w:rFonts w:hint="eastAsia" w:ascii="仿宋_GB2312" w:hAnsi="仿宋_GB2312" w:eastAsia="仿宋_GB2312" w:cs="仿宋_GB2312"/>
          <w:spacing w:val="2"/>
          <w:sz w:val="28"/>
          <w:szCs w:val="28"/>
          <w:highlight w:val="none"/>
        </w:rPr>
        <w:fldChar w:fldCharType="begin"/>
      </w:r>
      <w:r>
        <w:rPr>
          <w:rFonts w:hint="eastAsia" w:ascii="仿宋_GB2312" w:hAnsi="仿宋_GB2312" w:eastAsia="仿宋_GB2312" w:cs="仿宋_GB2312"/>
          <w:spacing w:val="2"/>
          <w:sz w:val="28"/>
          <w:szCs w:val="28"/>
          <w:highlight w:val="none"/>
        </w:rPr>
        <w:instrText xml:space="preserve">TOC \o "1-3" \h \u </w:instrText>
      </w:r>
      <w:r>
        <w:rPr>
          <w:rFonts w:hint="eastAsia" w:ascii="仿宋_GB2312" w:hAnsi="仿宋_GB2312" w:eastAsia="仿宋_GB2312" w:cs="仿宋_GB2312"/>
          <w:spacing w:val="2"/>
          <w:sz w:val="28"/>
          <w:szCs w:val="28"/>
          <w:highlight w:val="none"/>
        </w:rPr>
        <w:fldChar w:fldCharType="separate"/>
      </w: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_Toc18577 </w:instrText>
      </w:r>
      <w:r>
        <w:rPr>
          <w:rFonts w:hint="eastAsia" w:ascii="仿宋_GB2312" w:hAnsi="仿宋_GB2312" w:eastAsia="仿宋_GB2312" w:cs="仿宋_GB2312"/>
          <w:spacing w:val="2"/>
          <w:szCs w:val="28"/>
          <w:highlight w:val="none"/>
        </w:rPr>
        <w:fldChar w:fldCharType="separate"/>
      </w:r>
      <w:r>
        <w:rPr>
          <w:rFonts w:ascii="仿宋" w:hAnsi="仿宋" w:eastAsia="仿宋" w:cs="仿宋"/>
          <w:bCs/>
          <w:spacing w:val="10"/>
          <w:szCs w:val="43"/>
        </w:rPr>
        <w:t>摘</w:t>
      </w:r>
      <w:r>
        <w:rPr>
          <w:rFonts w:ascii="仿宋" w:hAnsi="仿宋" w:eastAsia="仿宋" w:cs="仿宋"/>
          <w:bCs/>
          <w:spacing w:val="9"/>
          <w:szCs w:val="43"/>
        </w:rPr>
        <w:t xml:space="preserve">  要</w:t>
      </w:r>
      <w:r>
        <w:tab/>
      </w:r>
      <w:r>
        <w:fldChar w:fldCharType="begin"/>
      </w:r>
      <w:r>
        <w:instrText xml:space="preserve"> PAGEREF _Toc18577 \h </w:instrText>
      </w:r>
      <w:r>
        <w:fldChar w:fldCharType="separate"/>
      </w:r>
      <w:r>
        <w:t>2</w:t>
      </w:r>
      <w:r>
        <w:fldChar w:fldCharType="end"/>
      </w:r>
      <w:r>
        <w:rPr>
          <w:rFonts w:hint="eastAsia" w:ascii="仿宋_GB2312" w:hAnsi="仿宋_GB2312" w:eastAsia="仿宋_GB2312" w:cs="仿宋_GB2312"/>
          <w:spacing w:val="2"/>
          <w:szCs w:val="28"/>
          <w:highlight w:val="none"/>
        </w:rPr>
        <w:fldChar w:fldCharType="end"/>
      </w:r>
    </w:p>
    <w:p>
      <w:pPr>
        <w:pStyle w:val="8"/>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_Toc30064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rPr>
        <w:t>一、</w:t>
      </w:r>
      <w:r>
        <w:rPr>
          <w:rFonts w:hint="eastAsia" w:ascii="仿宋_GB2312" w:hAnsi="仿宋_GB2312" w:eastAsia="仿宋_GB2312" w:cs="仿宋_GB2312"/>
          <w:bCs/>
          <w:szCs w:val="28"/>
          <w:lang w:val="en-US" w:eastAsia="zh-CN"/>
        </w:rPr>
        <w:t>项目概况</w:t>
      </w:r>
      <w:r>
        <w:tab/>
      </w:r>
      <w:r>
        <w:fldChar w:fldCharType="begin"/>
      </w:r>
      <w:r>
        <w:instrText xml:space="preserve"> PAGEREF _Toc30064 \h </w:instrText>
      </w:r>
      <w:r>
        <w:fldChar w:fldCharType="separate"/>
      </w:r>
      <w:r>
        <w:t>1</w:t>
      </w:r>
      <w:r>
        <w:fldChar w:fldCharType="end"/>
      </w:r>
      <w:r>
        <w:rPr>
          <w:rFonts w:hint="eastAsia" w:ascii="仿宋_GB2312" w:hAnsi="仿宋_GB2312" w:eastAsia="仿宋_GB2312" w:cs="仿宋_GB2312"/>
          <w:spacing w:val="2"/>
          <w:szCs w:val="28"/>
          <w:highlight w:val="none"/>
        </w:rPr>
        <w:fldChar w:fldCharType="end"/>
      </w:r>
    </w:p>
    <w:p>
      <w:pPr>
        <w:pStyle w:val="9"/>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_Toc8169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rPr>
        <w:t>（一）</w:t>
      </w:r>
      <w:r>
        <w:rPr>
          <w:rFonts w:hint="eastAsia" w:ascii="仿宋_GB2312" w:hAnsi="仿宋_GB2312" w:eastAsia="仿宋_GB2312" w:cs="仿宋_GB2312"/>
          <w:bCs/>
          <w:szCs w:val="28"/>
          <w:lang w:val="en-US" w:eastAsia="zh-CN"/>
        </w:rPr>
        <w:t>基本情况</w:t>
      </w:r>
      <w:r>
        <w:tab/>
      </w:r>
      <w:r>
        <w:fldChar w:fldCharType="begin"/>
      </w:r>
      <w:r>
        <w:instrText xml:space="preserve"> PAGEREF _Toc8169 \h </w:instrText>
      </w:r>
      <w:r>
        <w:fldChar w:fldCharType="separate"/>
      </w:r>
      <w:r>
        <w:t>1</w:t>
      </w:r>
      <w:r>
        <w:fldChar w:fldCharType="end"/>
      </w:r>
      <w:r>
        <w:rPr>
          <w:rFonts w:hint="eastAsia" w:ascii="仿宋_GB2312" w:hAnsi="仿宋_GB2312" w:eastAsia="仿宋_GB2312" w:cs="仿宋_GB2312"/>
          <w:spacing w:val="2"/>
          <w:szCs w:val="28"/>
          <w:highlight w:val="none"/>
        </w:rPr>
        <w:fldChar w:fldCharType="end"/>
      </w:r>
    </w:p>
    <w:p>
      <w:pPr>
        <w:pStyle w:val="9"/>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_Toc3064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lang w:val="en-US" w:eastAsia="zh-CN"/>
        </w:rPr>
        <w:t>（二）项目资金投入及使用情况</w:t>
      </w:r>
      <w:r>
        <w:tab/>
      </w:r>
      <w:r>
        <w:fldChar w:fldCharType="begin"/>
      </w:r>
      <w:r>
        <w:instrText xml:space="preserve"> PAGEREF _Toc3064 \h </w:instrText>
      </w:r>
      <w:r>
        <w:fldChar w:fldCharType="separate"/>
      </w:r>
      <w:r>
        <w:t>3</w:t>
      </w:r>
      <w:r>
        <w:fldChar w:fldCharType="end"/>
      </w:r>
      <w:r>
        <w:rPr>
          <w:rFonts w:hint="eastAsia" w:ascii="仿宋_GB2312" w:hAnsi="仿宋_GB2312" w:eastAsia="仿宋_GB2312" w:cs="仿宋_GB2312"/>
          <w:spacing w:val="2"/>
          <w:szCs w:val="28"/>
          <w:highlight w:val="none"/>
        </w:rPr>
        <w:fldChar w:fldCharType="end"/>
      </w:r>
    </w:p>
    <w:p>
      <w:pPr>
        <w:pStyle w:val="9"/>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_Toc32283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lang w:val="en-US" w:eastAsia="zh-CN"/>
        </w:rPr>
        <w:t>（三）项目实施情况</w:t>
      </w:r>
      <w:r>
        <w:tab/>
      </w:r>
      <w:r>
        <w:fldChar w:fldCharType="begin"/>
      </w:r>
      <w:r>
        <w:instrText xml:space="preserve"> PAGEREF _Toc32283 \h </w:instrText>
      </w:r>
      <w:r>
        <w:fldChar w:fldCharType="separate"/>
      </w:r>
      <w:r>
        <w:t>3</w:t>
      </w:r>
      <w:r>
        <w:fldChar w:fldCharType="end"/>
      </w:r>
      <w:r>
        <w:rPr>
          <w:rFonts w:hint="eastAsia" w:ascii="仿宋_GB2312" w:hAnsi="仿宋_GB2312" w:eastAsia="仿宋_GB2312" w:cs="仿宋_GB2312"/>
          <w:spacing w:val="2"/>
          <w:szCs w:val="28"/>
          <w:highlight w:val="none"/>
        </w:rPr>
        <w:fldChar w:fldCharType="end"/>
      </w:r>
    </w:p>
    <w:p>
      <w:pPr>
        <w:pStyle w:val="8"/>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_Toc1257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rPr>
        <w:t>二、评价工作开展情况</w:t>
      </w:r>
      <w:r>
        <w:tab/>
      </w:r>
      <w:r>
        <w:fldChar w:fldCharType="begin"/>
      </w:r>
      <w:r>
        <w:instrText xml:space="preserve"> PAGEREF _Toc1257 \h </w:instrText>
      </w:r>
      <w:r>
        <w:fldChar w:fldCharType="separate"/>
      </w:r>
      <w:r>
        <w:t>5</w:t>
      </w:r>
      <w:r>
        <w:fldChar w:fldCharType="end"/>
      </w:r>
      <w:r>
        <w:rPr>
          <w:rFonts w:hint="eastAsia" w:ascii="仿宋_GB2312" w:hAnsi="仿宋_GB2312" w:eastAsia="仿宋_GB2312" w:cs="仿宋_GB2312"/>
          <w:spacing w:val="2"/>
          <w:szCs w:val="28"/>
          <w:highlight w:val="none"/>
        </w:rPr>
        <w:fldChar w:fldCharType="end"/>
      </w:r>
    </w:p>
    <w:p>
      <w:pPr>
        <w:pStyle w:val="9"/>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_Toc32751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lang w:eastAsia="zh-CN"/>
        </w:rPr>
        <w:t>（</w:t>
      </w:r>
      <w:r>
        <w:rPr>
          <w:rFonts w:hint="eastAsia" w:ascii="仿宋_GB2312" w:hAnsi="仿宋_GB2312" w:eastAsia="仿宋_GB2312" w:cs="仿宋_GB2312"/>
          <w:bCs/>
          <w:szCs w:val="28"/>
          <w:lang w:val="en-US" w:eastAsia="zh-CN"/>
        </w:rPr>
        <w:t>一</w:t>
      </w:r>
      <w:r>
        <w:rPr>
          <w:rFonts w:hint="eastAsia" w:ascii="仿宋_GB2312" w:hAnsi="仿宋_GB2312" w:eastAsia="仿宋_GB2312" w:cs="仿宋_GB2312"/>
          <w:bCs/>
          <w:szCs w:val="28"/>
          <w:lang w:eastAsia="zh-CN"/>
        </w:rPr>
        <w:t>）</w:t>
      </w:r>
      <w:r>
        <w:rPr>
          <w:rFonts w:hint="eastAsia" w:ascii="仿宋_GB2312" w:hAnsi="仿宋_GB2312" w:eastAsia="仿宋_GB2312" w:cs="仿宋_GB2312"/>
          <w:bCs/>
          <w:szCs w:val="28"/>
        </w:rPr>
        <w:t>评价目的和评价对象</w:t>
      </w:r>
      <w:r>
        <w:tab/>
      </w:r>
      <w:r>
        <w:fldChar w:fldCharType="begin"/>
      </w:r>
      <w:r>
        <w:instrText xml:space="preserve"> PAGEREF _Toc32751 \h </w:instrText>
      </w:r>
      <w:r>
        <w:fldChar w:fldCharType="separate"/>
      </w:r>
      <w:r>
        <w:t>5</w:t>
      </w:r>
      <w:r>
        <w:fldChar w:fldCharType="end"/>
      </w:r>
      <w:r>
        <w:rPr>
          <w:rFonts w:hint="eastAsia" w:ascii="仿宋_GB2312" w:hAnsi="仿宋_GB2312" w:eastAsia="仿宋_GB2312" w:cs="仿宋_GB2312"/>
          <w:spacing w:val="2"/>
          <w:szCs w:val="28"/>
          <w:highlight w:val="none"/>
        </w:rPr>
        <w:fldChar w:fldCharType="end"/>
      </w:r>
    </w:p>
    <w:p>
      <w:pPr>
        <w:pStyle w:val="9"/>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_Toc21916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lang w:eastAsia="zh-CN"/>
        </w:rPr>
        <w:t>（</w:t>
      </w:r>
      <w:r>
        <w:rPr>
          <w:rFonts w:hint="eastAsia" w:ascii="仿宋_GB2312" w:hAnsi="仿宋_GB2312" w:eastAsia="仿宋_GB2312" w:cs="仿宋_GB2312"/>
          <w:bCs/>
          <w:szCs w:val="28"/>
          <w:lang w:val="en-US" w:eastAsia="zh-CN"/>
        </w:rPr>
        <w:t>二</w:t>
      </w:r>
      <w:r>
        <w:rPr>
          <w:rFonts w:hint="eastAsia" w:ascii="仿宋_GB2312" w:hAnsi="仿宋_GB2312" w:eastAsia="仿宋_GB2312" w:cs="仿宋_GB2312"/>
          <w:bCs/>
          <w:szCs w:val="28"/>
          <w:lang w:eastAsia="zh-CN"/>
        </w:rPr>
        <w:t>）</w:t>
      </w:r>
      <w:r>
        <w:rPr>
          <w:rFonts w:hint="eastAsia" w:ascii="仿宋_GB2312" w:hAnsi="仿宋_GB2312" w:eastAsia="仿宋_GB2312" w:cs="仿宋_GB2312"/>
          <w:bCs/>
          <w:szCs w:val="28"/>
        </w:rPr>
        <w:t>评价原则与方法</w:t>
      </w:r>
      <w:r>
        <w:tab/>
      </w:r>
      <w:r>
        <w:fldChar w:fldCharType="begin"/>
      </w:r>
      <w:r>
        <w:instrText xml:space="preserve"> PAGEREF _Toc21916 \h </w:instrText>
      </w:r>
      <w:r>
        <w:fldChar w:fldCharType="separate"/>
      </w:r>
      <w:r>
        <w:t>5</w:t>
      </w:r>
      <w:r>
        <w:fldChar w:fldCharType="end"/>
      </w:r>
      <w:r>
        <w:rPr>
          <w:rFonts w:hint="eastAsia" w:ascii="仿宋_GB2312" w:hAnsi="仿宋_GB2312" w:eastAsia="仿宋_GB2312" w:cs="仿宋_GB2312"/>
          <w:spacing w:val="2"/>
          <w:szCs w:val="28"/>
          <w:highlight w:val="none"/>
        </w:rPr>
        <w:fldChar w:fldCharType="end"/>
      </w:r>
    </w:p>
    <w:p>
      <w:pPr>
        <w:pStyle w:val="9"/>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_Toc6538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lang w:eastAsia="zh-CN"/>
        </w:rPr>
        <w:t>（</w:t>
      </w:r>
      <w:r>
        <w:rPr>
          <w:rFonts w:hint="eastAsia" w:ascii="仿宋_GB2312" w:hAnsi="仿宋_GB2312" w:eastAsia="仿宋_GB2312" w:cs="仿宋_GB2312"/>
          <w:bCs/>
          <w:szCs w:val="28"/>
          <w:lang w:val="en-US" w:eastAsia="zh-CN"/>
        </w:rPr>
        <w:t>三</w:t>
      </w:r>
      <w:r>
        <w:rPr>
          <w:rFonts w:hint="eastAsia" w:ascii="仿宋_GB2312" w:hAnsi="仿宋_GB2312" w:eastAsia="仿宋_GB2312" w:cs="仿宋_GB2312"/>
          <w:bCs/>
          <w:szCs w:val="28"/>
          <w:lang w:eastAsia="zh-CN"/>
        </w:rPr>
        <w:t>）</w:t>
      </w:r>
      <w:r>
        <w:rPr>
          <w:rFonts w:hint="eastAsia" w:ascii="仿宋_GB2312" w:hAnsi="仿宋_GB2312" w:eastAsia="仿宋_GB2312" w:cs="仿宋_GB2312"/>
          <w:bCs/>
          <w:szCs w:val="28"/>
        </w:rPr>
        <w:t>评价依据</w:t>
      </w:r>
      <w:r>
        <w:tab/>
      </w:r>
      <w:r>
        <w:fldChar w:fldCharType="begin"/>
      </w:r>
      <w:r>
        <w:instrText xml:space="preserve"> PAGEREF _Toc6538 \h </w:instrText>
      </w:r>
      <w:r>
        <w:fldChar w:fldCharType="separate"/>
      </w:r>
      <w:r>
        <w:t>6</w:t>
      </w:r>
      <w:r>
        <w:fldChar w:fldCharType="end"/>
      </w:r>
      <w:r>
        <w:rPr>
          <w:rFonts w:hint="eastAsia" w:ascii="仿宋_GB2312" w:hAnsi="仿宋_GB2312" w:eastAsia="仿宋_GB2312" w:cs="仿宋_GB2312"/>
          <w:spacing w:val="2"/>
          <w:szCs w:val="28"/>
          <w:highlight w:val="none"/>
        </w:rPr>
        <w:fldChar w:fldCharType="end"/>
      </w:r>
    </w:p>
    <w:p>
      <w:pPr>
        <w:pStyle w:val="9"/>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_Toc31771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lang w:eastAsia="zh-CN"/>
        </w:rPr>
        <w:t>（</w:t>
      </w:r>
      <w:r>
        <w:rPr>
          <w:rFonts w:hint="eastAsia" w:ascii="仿宋_GB2312" w:hAnsi="仿宋_GB2312" w:eastAsia="仿宋_GB2312" w:cs="仿宋_GB2312"/>
          <w:bCs/>
          <w:szCs w:val="28"/>
          <w:lang w:val="en-US" w:eastAsia="zh-CN"/>
        </w:rPr>
        <w:t>四</w:t>
      </w:r>
      <w:r>
        <w:rPr>
          <w:rFonts w:hint="eastAsia" w:ascii="仿宋_GB2312" w:hAnsi="仿宋_GB2312" w:eastAsia="仿宋_GB2312" w:cs="仿宋_GB2312"/>
          <w:bCs/>
          <w:szCs w:val="28"/>
          <w:lang w:eastAsia="zh-CN"/>
        </w:rPr>
        <w:t>）</w:t>
      </w:r>
      <w:r>
        <w:rPr>
          <w:rFonts w:hint="eastAsia" w:ascii="仿宋_GB2312" w:hAnsi="仿宋_GB2312" w:eastAsia="仿宋_GB2312" w:cs="仿宋_GB2312"/>
          <w:bCs/>
          <w:szCs w:val="28"/>
        </w:rPr>
        <w:t>评价内容及指标</w:t>
      </w:r>
      <w:r>
        <w:tab/>
      </w:r>
      <w:r>
        <w:fldChar w:fldCharType="begin"/>
      </w:r>
      <w:r>
        <w:instrText xml:space="preserve"> PAGEREF _Toc31771 \h </w:instrText>
      </w:r>
      <w:r>
        <w:fldChar w:fldCharType="separate"/>
      </w:r>
      <w:r>
        <w:t>7</w:t>
      </w:r>
      <w:r>
        <w:fldChar w:fldCharType="end"/>
      </w:r>
      <w:r>
        <w:rPr>
          <w:rFonts w:hint="eastAsia" w:ascii="仿宋_GB2312" w:hAnsi="仿宋_GB2312" w:eastAsia="仿宋_GB2312" w:cs="仿宋_GB2312"/>
          <w:spacing w:val="2"/>
          <w:szCs w:val="28"/>
          <w:highlight w:val="none"/>
        </w:rPr>
        <w:fldChar w:fldCharType="end"/>
      </w:r>
    </w:p>
    <w:p>
      <w:pPr>
        <w:pStyle w:val="9"/>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_Toc4475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lang w:val="en-US" w:eastAsia="zh-CN"/>
        </w:rPr>
        <w:t>（五）评价标准</w:t>
      </w:r>
      <w:r>
        <w:tab/>
      </w:r>
      <w:r>
        <w:fldChar w:fldCharType="begin"/>
      </w:r>
      <w:r>
        <w:instrText xml:space="preserve"> PAGEREF _Toc4475 \h </w:instrText>
      </w:r>
      <w:r>
        <w:fldChar w:fldCharType="separate"/>
      </w:r>
      <w:r>
        <w:t>8</w:t>
      </w:r>
      <w:r>
        <w:fldChar w:fldCharType="end"/>
      </w:r>
      <w:r>
        <w:rPr>
          <w:rFonts w:hint="eastAsia" w:ascii="仿宋_GB2312" w:hAnsi="仿宋_GB2312" w:eastAsia="仿宋_GB2312" w:cs="仿宋_GB2312"/>
          <w:spacing w:val="2"/>
          <w:szCs w:val="28"/>
          <w:highlight w:val="none"/>
        </w:rPr>
        <w:fldChar w:fldCharType="end"/>
      </w:r>
    </w:p>
    <w:p>
      <w:pPr>
        <w:pStyle w:val="9"/>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_Toc2309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lang w:eastAsia="zh-CN"/>
        </w:rPr>
        <w:t>（</w:t>
      </w:r>
      <w:r>
        <w:rPr>
          <w:rFonts w:hint="eastAsia" w:ascii="仿宋_GB2312" w:hAnsi="仿宋_GB2312" w:eastAsia="仿宋_GB2312" w:cs="仿宋_GB2312"/>
          <w:bCs/>
          <w:szCs w:val="28"/>
          <w:lang w:val="en-US" w:eastAsia="zh-CN"/>
        </w:rPr>
        <w:t>六</w:t>
      </w:r>
      <w:r>
        <w:rPr>
          <w:rFonts w:hint="eastAsia" w:ascii="仿宋_GB2312" w:hAnsi="仿宋_GB2312" w:eastAsia="仿宋_GB2312" w:cs="仿宋_GB2312"/>
          <w:bCs/>
          <w:szCs w:val="28"/>
          <w:lang w:eastAsia="zh-CN"/>
        </w:rPr>
        <w:t>）</w:t>
      </w:r>
      <w:r>
        <w:rPr>
          <w:rFonts w:hint="eastAsia" w:ascii="仿宋_GB2312" w:hAnsi="仿宋_GB2312" w:eastAsia="仿宋_GB2312" w:cs="仿宋_GB2312"/>
          <w:bCs/>
          <w:szCs w:val="28"/>
        </w:rPr>
        <w:t>评价</w:t>
      </w:r>
      <w:r>
        <w:rPr>
          <w:rFonts w:hint="eastAsia" w:ascii="仿宋_GB2312" w:hAnsi="仿宋_GB2312" w:eastAsia="仿宋_GB2312" w:cs="仿宋_GB2312"/>
          <w:bCs/>
          <w:szCs w:val="28"/>
          <w:lang w:val="en-US" w:eastAsia="zh-CN"/>
        </w:rPr>
        <w:t>组织实施</w:t>
      </w:r>
      <w:r>
        <w:tab/>
      </w:r>
      <w:r>
        <w:fldChar w:fldCharType="begin"/>
      </w:r>
      <w:r>
        <w:instrText xml:space="preserve"> PAGEREF _Toc2309 \h </w:instrText>
      </w:r>
      <w:r>
        <w:fldChar w:fldCharType="separate"/>
      </w:r>
      <w:r>
        <w:t>8</w:t>
      </w:r>
      <w:r>
        <w:fldChar w:fldCharType="end"/>
      </w:r>
      <w:r>
        <w:rPr>
          <w:rFonts w:hint="eastAsia" w:ascii="仿宋_GB2312" w:hAnsi="仿宋_GB2312" w:eastAsia="仿宋_GB2312" w:cs="仿宋_GB2312"/>
          <w:spacing w:val="2"/>
          <w:szCs w:val="28"/>
          <w:highlight w:val="none"/>
        </w:rPr>
        <w:fldChar w:fldCharType="end"/>
      </w:r>
    </w:p>
    <w:p>
      <w:pPr>
        <w:pStyle w:val="8"/>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_Toc21959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rPr>
        <w:t>三、综合评价结论及指标分析</w:t>
      </w:r>
      <w:r>
        <w:tab/>
      </w:r>
      <w:r>
        <w:fldChar w:fldCharType="begin"/>
      </w:r>
      <w:r>
        <w:instrText xml:space="preserve"> PAGEREF _Toc21959 \h </w:instrText>
      </w:r>
      <w:r>
        <w:fldChar w:fldCharType="separate"/>
      </w:r>
      <w:r>
        <w:t>9</w:t>
      </w:r>
      <w:r>
        <w:fldChar w:fldCharType="end"/>
      </w:r>
      <w:r>
        <w:rPr>
          <w:rFonts w:hint="eastAsia" w:ascii="仿宋_GB2312" w:hAnsi="仿宋_GB2312" w:eastAsia="仿宋_GB2312" w:cs="仿宋_GB2312"/>
          <w:spacing w:val="2"/>
          <w:szCs w:val="28"/>
          <w:highlight w:val="none"/>
        </w:rPr>
        <w:fldChar w:fldCharType="end"/>
      </w:r>
    </w:p>
    <w:p>
      <w:pPr>
        <w:pStyle w:val="9"/>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_Toc6420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rPr>
        <w:t>（一）决策情况分析</w:t>
      </w:r>
      <w:r>
        <w:tab/>
      </w:r>
      <w:r>
        <w:fldChar w:fldCharType="begin"/>
      </w:r>
      <w:r>
        <w:instrText xml:space="preserve"> PAGEREF _Toc6420 \h </w:instrText>
      </w:r>
      <w:r>
        <w:fldChar w:fldCharType="separate"/>
      </w:r>
      <w:r>
        <w:t>10</w:t>
      </w:r>
      <w:r>
        <w:fldChar w:fldCharType="end"/>
      </w:r>
      <w:r>
        <w:rPr>
          <w:rFonts w:hint="eastAsia" w:ascii="仿宋_GB2312" w:hAnsi="仿宋_GB2312" w:eastAsia="仿宋_GB2312" w:cs="仿宋_GB2312"/>
          <w:spacing w:val="2"/>
          <w:szCs w:val="28"/>
          <w:highlight w:val="none"/>
        </w:rPr>
        <w:fldChar w:fldCharType="end"/>
      </w:r>
    </w:p>
    <w:p>
      <w:pPr>
        <w:pStyle w:val="9"/>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_Toc17097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rPr>
        <w:t>（二）过程情况分析</w:t>
      </w:r>
      <w:r>
        <w:tab/>
      </w:r>
      <w:r>
        <w:fldChar w:fldCharType="begin"/>
      </w:r>
      <w:r>
        <w:instrText xml:space="preserve"> PAGEREF _Toc17097 \h </w:instrText>
      </w:r>
      <w:r>
        <w:fldChar w:fldCharType="separate"/>
      </w:r>
      <w:r>
        <w:t>10</w:t>
      </w:r>
      <w:r>
        <w:fldChar w:fldCharType="end"/>
      </w:r>
      <w:r>
        <w:rPr>
          <w:rFonts w:hint="eastAsia" w:ascii="仿宋_GB2312" w:hAnsi="仿宋_GB2312" w:eastAsia="仿宋_GB2312" w:cs="仿宋_GB2312"/>
          <w:spacing w:val="2"/>
          <w:szCs w:val="28"/>
          <w:highlight w:val="none"/>
        </w:rPr>
        <w:fldChar w:fldCharType="end"/>
      </w:r>
    </w:p>
    <w:p>
      <w:pPr>
        <w:pStyle w:val="9"/>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_Toc10995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rPr>
        <w:t>（三）产出情况分析</w:t>
      </w:r>
      <w:r>
        <w:tab/>
      </w:r>
      <w:r>
        <w:fldChar w:fldCharType="begin"/>
      </w:r>
      <w:r>
        <w:instrText xml:space="preserve"> PAGEREF _Toc10995 \h </w:instrText>
      </w:r>
      <w:r>
        <w:fldChar w:fldCharType="separate"/>
      </w:r>
      <w:r>
        <w:t>11</w:t>
      </w:r>
      <w:r>
        <w:fldChar w:fldCharType="end"/>
      </w:r>
      <w:r>
        <w:rPr>
          <w:rFonts w:hint="eastAsia" w:ascii="仿宋_GB2312" w:hAnsi="仿宋_GB2312" w:eastAsia="仿宋_GB2312" w:cs="仿宋_GB2312"/>
          <w:spacing w:val="2"/>
          <w:szCs w:val="28"/>
          <w:highlight w:val="none"/>
        </w:rPr>
        <w:fldChar w:fldCharType="end"/>
      </w:r>
    </w:p>
    <w:p>
      <w:pPr>
        <w:pStyle w:val="9"/>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_Toc1808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rPr>
        <w:t>（四）效益情况分析</w:t>
      </w:r>
      <w:r>
        <w:tab/>
      </w:r>
      <w:r>
        <w:fldChar w:fldCharType="begin"/>
      </w:r>
      <w:r>
        <w:instrText xml:space="preserve"> PAGEREF _Toc1808 \h </w:instrText>
      </w:r>
      <w:r>
        <w:fldChar w:fldCharType="separate"/>
      </w:r>
      <w:r>
        <w:t>11</w:t>
      </w:r>
      <w:r>
        <w:fldChar w:fldCharType="end"/>
      </w:r>
      <w:r>
        <w:rPr>
          <w:rFonts w:hint="eastAsia" w:ascii="仿宋_GB2312" w:hAnsi="仿宋_GB2312" w:eastAsia="仿宋_GB2312" w:cs="仿宋_GB2312"/>
          <w:spacing w:val="2"/>
          <w:szCs w:val="28"/>
          <w:highlight w:val="none"/>
        </w:rPr>
        <w:fldChar w:fldCharType="end"/>
      </w:r>
    </w:p>
    <w:p>
      <w:pPr>
        <w:pStyle w:val="8"/>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_Toc1839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lang w:val="en-US" w:eastAsia="zh-CN"/>
        </w:rPr>
        <w:t>四、主要经验及做法</w:t>
      </w:r>
      <w:r>
        <w:tab/>
      </w:r>
      <w:r>
        <w:fldChar w:fldCharType="begin"/>
      </w:r>
      <w:r>
        <w:instrText xml:space="preserve"> PAGEREF _Toc1839 \h </w:instrText>
      </w:r>
      <w:r>
        <w:fldChar w:fldCharType="separate"/>
      </w:r>
      <w:r>
        <w:t>12</w:t>
      </w:r>
      <w:r>
        <w:fldChar w:fldCharType="end"/>
      </w:r>
      <w:r>
        <w:rPr>
          <w:rFonts w:hint="eastAsia" w:ascii="仿宋_GB2312" w:hAnsi="仿宋_GB2312" w:eastAsia="仿宋_GB2312" w:cs="仿宋_GB2312"/>
          <w:spacing w:val="2"/>
          <w:szCs w:val="28"/>
          <w:highlight w:val="none"/>
        </w:rPr>
        <w:fldChar w:fldCharType="end"/>
      </w:r>
    </w:p>
    <w:p>
      <w:pPr>
        <w:pStyle w:val="9"/>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_Toc31180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pacing w:val="7"/>
          <w:szCs w:val="28"/>
          <w:lang w:eastAsia="zh-CN"/>
        </w:rPr>
        <w:t>（</w:t>
      </w:r>
      <w:r>
        <w:rPr>
          <w:rFonts w:hint="eastAsia" w:ascii="仿宋_GB2312" w:hAnsi="仿宋_GB2312" w:eastAsia="仿宋_GB2312" w:cs="仿宋_GB2312"/>
          <w:bCs/>
          <w:spacing w:val="7"/>
          <w:szCs w:val="28"/>
          <w:lang w:val="en-US" w:eastAsia="zh-CN"/>
        </w:rPr>
        <w:t>一</w:t>
      </w:r>
      <w:r>
        <w:rPr>
          <w:rFonts w:hint="eastAsia" w:ascii="仿宋_GB2312" w:hAnsi="仿宋_GB2312" w:eastAsia="仿宋_GB2312" w:cs="仿宋_GB2312"/>
          <w:bCs/>
          <w:spacing w:val="7"/>
          <w:szCs w:val="28"/>
          <w:lang w:eastAsia="zh-CN"/>
        </w:rPr>
        <w:t>）</w:t>
      </w:r>
      <w:r>
        <w:rPr>
          <w:rFonts w:hint="eastAsia" w:ascii="仿宋_GB2312" w:hAnsi="仿宋_GB2312" w:eastAsia="仿宋_GB2312" w:cs="仿宋_GB2312"/>
          <w:bCs/>
          <w:spacing w:val="7"/>
          <w:szCs w:val="28"/>
          <w:lang w:val="en-US" w:eastAsia="zh-CN"/>
        </w:rPr>
        <w:t>扎实推进民生实事项目建设</w:t>
      </w:r>
      <w:r>
        <w:tab/>
      </w:r>
      <w:r>
        <w:fldChar w:fldCharType="begin"/>
      </w:r>
      <w:r>
        <w:instrText xml:space="preserve"> PAGEREF _Toc31180 \h </w:instrText>
      </w:r>
      <w:r>
        <w:fldChar w:fldCharType="separate"/>
      </w:r>
      <w:r>
        <w:t>12</w:t>
      </w:r>
      <w:r>
        <w:fldChar w:fldCharType="end"/>
      </w:r>
      <w:r>
        <w:rPr>
          <w:rFonts w:hint="eastAsia" w:ascii="仿宋_GB2312" w:hAnsi="仿宋_GB2312" w:eastAsia="仿宋_GB2312" w:cs="仿宋_GB2312"/>
          <w:spacing w:val="2"/>
          <w:szCs w:val="28"/>
          <w:highlight w:val="none"/>
        </w:rPr>
        <w:fldChar w:fldCharType="end"/>
      </w:r>
    </w:p>
    <w:p>
      <w:pPr>
        <w:pStyle w:val="9"/>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_Toc2028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pacing w:val="7"/>
          <w:szCs w:val="28"/>
          <w:lang w:eastAsia="zh-CN"/>
        </w:rPr>
        <w:t>（</w:t>
      </w:r>
      <w:r>
        <w:rPr>
          <w:rFonts w:hint="eastAsia" w:ascii="仿宋_GB2312" w:hAnsi="仿宋_GB2312" w:eastAsia="仿宋_GB2312" w:cs="仿宋_GB2312"/>
          <w:bCs/>
          <w:spacing w:val="7"/>
          <w:szCs w:val="28"/>
          <w:lang w:val="en-US" w:eastAsia="zh-CN"/>
        </w:rPr>
        <w:t>二</w:t>
      </w:r>
      <w:r>
        <w:rPr>
          <w:rFonts w:hint="eastAsia" w:ascii="仿宋_GB2312" w:hAnsi="仿宋_GB2312" w:eastAsia="仿宋_GB2312" w:cs="仿宋_GB2312"/>
          <w:bCs/>
          <w:spacing w:val="7"/>
          <w:szCs w:val="28"/>
          <w:lang w:eastAsia="zh-CN"/>
        </w:rPr>
        <w:t>）</w:t>
      </w:r>
      <w:r>
        <w:rPr>
          <w:rFonts w:hint="eastAsia" w:ascii="仿宋_GB2312" w:hAnsi="仿宋_GB2312" w:eastAsia="仿宋_GB2312" w:cs="仿宋_GB2312"/>
          <w:bCs/>
          <w:spacing w:val="7"/>
          <w:szCs w:val="28"/>
          <w:lang w:val="en-US" w:eastAsia="zh-CN"/>
        </w:rPr>
        <w:t>办好办实民生工程</w:t>
      </w:r>
      <w:r>
        <w:tab/>
      </w:r>
      <w:r>
        <w:fldChar w:fldCharType="begin"/>
      </w:r>
      <w:r>
        <w:instrText xml:space="preserve"> PAGEREF _Toc2028 \h </w:instrText>
      </w:r>
      <w:r>
        <w:fldChar w:fldCharType="separate"/>
      </w:r>
      <w:r>
        <w:t>12</w:t>
      </w:r>
      <w:r>
        <w:fldChar w:fldCharType="end"/>
      </w:r>
      <w:r>
        <w:rPr>
          <w:rFonts w:hint="eastAsia" w:ascii="仿宋_GB2312" w:hAnsi="仿宋_GB2312" w:eastAsia="仿宋_GB2312" w:cs="仿宋_GB2312"/>
          <w:spacing w:val="2"/>
          <w:szCs w:val="28"/>
          <w:highlight w:val="none"/>
        </w:rPr>
        <w:fldChar w:fldCharType="end"/>
      </w:r>
    </w:p>
    <w:p>
      <w:pPr>
        <w:pStyle w:val="9"/>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_Toc15016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pacing w:val="7"/>
          <w:szCs w:val="28"/>
          <w:lang w:eastAsia="zh-CN"/>
        </w:rPr>
        <w:t>（</w:t>
      </w:r>
      <w:r>
        <w:rPr>
          <w:rFonts w:hint="eastAsia" w:ascii="仿宋_GB2312" w:hAnsi="仿宋_GB2312" w:eastAsia="仿宋_GB2312" w:cs="仿宋_GB2312"/>
          <w:bCs/>
          <w:spacing w:val="7"/>
          <w:szCs w:val="28"/>
          <w:lang w:val="en-US" w:eastAsia="zh-CN"/>
        </w:rPr>
        <w:t>三</w:t>
      </w:r>
      <w:r>
        <w:rPr>
          <w:rFonts w:hint="eastAsia" w:ascii="仿宋_GB2312" w:hAnsi="仿宋_GB2312" w:eastAsia="仿宋_GB2312" w:cs="仿宋_GB2312"/>
          <w:bCs/>
          <w:spacing w:val="7"/>
          <w:szCs w:val="28"/>
          <w:lang w:eastAsia="zh-CN"/>
        </w:rPr>
        <w:t>）</w:t>
      </w:r>
      <w:r>
        <w:rPr>
          <w:rFonts w:hint="eastAsia" w:ascii="仿宋_GB2312" w:hAnsi="仿宋_GB2312" w:eastAsia="仿宋_GB2312" w:cs="仿宋_GB2312"/>
          <w:bCs/>
          <w:spacing w:val="7"/>
          <w:szCs w:val="28"/>
          <w:lang w:val="en-US" w:eastAsia="zh-CN"/>
        </w:rPr>
        <w:t>全心全意惠民生</w:t>
      </w:r>
      <w:r>
        <w:tab/>
      </w:r>
      <w:r>
        <w:fldChar w:fldCharType="begin"/>
      </w:r>
      <w:r>
        <w:instrText xml:space="preserve"> PAGEREF _Toc15016 \h </w:instrText>
      </w:r>
      <w:r>
        <w:fldChar w:fldCharType="separate"/>
      </w:r>
      <w:r>
        <w:t>12</w:t>
      </w:r>
      <w:r>
        <w:fldChar w:fldCharType="end"/>
      </w:r>
      <w:r>
        <w:rPr>
          <w:rFonts w:hint="eastAsia" w:ascii="仿宋_GB2312" w:hAnsi="仿宋_GB2312" w:eastAsia="仿宋_GB2312" w:cs="仿宋_GB2312"/>
          <w:spacing w:val="2"/>
          <w:szCs w:val="28"/>
          <w:highlight w:val="none"/>
        </w:rPr>
        <w:fldChar w:fldCharType="end"/>
      </w:r>
    </w:p>
    <w:p>
      <w:pPr>
        <w:pStyle w:val="9"/>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_Toc13462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pacing w:val="7"/>
          <w:szCs w:val="28"/>
          <w:lang w:eastAsia="zh-CN"/>
        </w:rPr>
        <w:t>（</w:t>
      </w:r>
      <w:r>
        <w:rPr>
          <w:rFonts w:hint="eastAsia" w:ascii="仿宋_GB2312" w:hAnsi="仿宋_GB2312" w:eastAsia="仿宋_GB2312" w:cs="仿宋_GB2312"/>
          <w:bCs/>
          <w:spacing w:val="7"/>
          <w:szCs w:val="28"/>
          <w:lang w:val="en-US" w:eastAsia="zh-CN"/>
        </w:rPr>
        <w:t>四</w:t>
      </w:r>
      <w:r>
        <w:rPr>
          <w:rFonts w:hint="eastAsia" w:ascii="仿宋_GB2312" w:hAnsi="仿宋_GB2312" w:eastAsia="仿宋_GB2312" w:cs="仿宋_GB2312"/>
          <w:bCs/>
          <w:spacing w:val="7"/>
          <w:szCs w:val="28"/>
          <w:lang w:eastAsia="zh-CN"/>
        </w:rPr>
        <w:t>）</w:t>
      </w:r>
      <w:r>
        <w:rPr>
          <w:rFonts w:hint="eastAsia" w:ascii="仿宋_GB2312" w:hAnsi="仿宋_GB2312" w:eastAsia="仿宋_GB2312" w:cs="仿宋_GB2312"/>
          <w:bCs/>
          <w:spacing w:val="7"/>
          <w:szCs w:val="28"/>
          <w:lang w:val="en-US" w:eastAsia="zh-CN"/>
        </w:rPr>
        <w:t>结合实际各</w:t>
      </w:r>
      <w:r>
        <w:rPr>
          <w:rFonts w:hint="eastAsia" w:ascii="仿宋_GB2312" w:hAnsi="仿宋_GB2312" w:eastAsia="仿宋_GB2312" w:cs="仿宋_GB2312"/>
          <w:bCs/>
          <w:spacing w:val="7"/>
          <w:szCs w:val="28"/>
          <w:highlight w:val="none"/>
          <w:lang w:val="en-US" w:eastAsia="zh-CN"/>
        </w:rPr>
        <w:t>具</w:t>
      </w:r>
      <w:r>
        <w:rPr>
          <w:rFonts w:hint="eastAsia" w:ascii="仿宋_GB2312" w:hAnsi="仿宋_GB2312" w:eastAsia="仿宋_GB2312" w:cs="仿宋_GB2312"/>
          <w:bCs/>
          <w:spacing w:val="7"/>
          <w:szCs w:val="28"/>
          <w:lang w:val="en-US" w:eastAsia="zh-CN"/>
        </w:rPr>
        <w:t>特色</w:t>
      </w:r>
      <w:r>
        <w:tab/>
      </w:r>
      <w:r>
        <w:fldChar w:fldCharType="begin"/>
      </w:r>
      <w:r>
        <w:instrText xml:space="preserve"> PAGEREF _Toc13462 \h </w:instrText>
      </w:r>
      <w:r>
        <w:fldChar w:fldCharType="separate"/>
      </w:r>
      <w:r>
        <w:t>12</w:t>
      </w:r>
      <w:r>
        <w:fldChar w:fldCharType="end"/>
      </w:r>
      <w:r>
        <w:rPr>
          <w:rFonts w:hint="eastAsia" w:ascii="仿宋_GB2312" w:hAnsi="仿宋_GB2312" w:eastAsia="仿宋_GB2312" w:cs="仿宋_GB2312"/>
          <w:spacing w:val="2"/>
          <w:szCs w:val="28"/>
          <w:highlight w:val="none"/>
        </w:rPr>
        <w:fldChar w:fldCharType="end"/>
      </w:r>
    </w:p>
    <w:p>
      <w:pPr>
        <w:pStyle w:val="8"/>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_Toc18266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lang w:val="en-US" w:eastAsia="zh-CN"/>
        </w:rPr>
        <w:t>五</w:t>
      </w:r>
      <w:r>
        <w:rPr>
          <w:rFonts w:hint="eastAsia" w:ascii="仿宋_GB2312" w:hAnsi="仿宋_GB2312" w:eastAsia="仿宋_GB2312" w:cs="仿宋_GB2312"/>
          <w:bCs/>
          <w:szCs w:val="28"/>
          <w:highlight w:val="none"/>
        </w:rPr>
        <w:t>、存在的问题</w:t>
      </w:r>
      <w:r>
        <w:tab/>
      </w:r>
      <w:r>
        <w:fldChar w:fldCharType="begin"/>
      </w:r>
      <w:r>
        <w:instrText xml:space="preserve"> PAGEREF _Toc18266 \h </w:instrText>
      </w:r>
      <w:r>
        <w:fldChar w:fldCharType="separate"/>
      </w:r>
      <w:r>
        <w:t>12</w:t>
      </w:r>
      <w:r>
        <w:fldChar w:fldCharType="end"/>
      </w:r>
      <w:r>
        <w:rPr>
          <w:rFonts w:hint="eastAsia" w:ascii="仿宋_GB2312" w:hAnsi="仿宋_GB2312" w:eastAsia="仿宋_GB2312" w:cs="仿宋_GB2312"/>
          <w:spacing w:val="2"/>
          <w:szCs w:val="28"/>
          <w:highlight w:val="none"/>
        </w:rPr>
        <w:fldChar w:fldCharType="end"/>
      </w:r>
    </w:p>
    <w:p>
      <w:pPr>
        <w:pStyle w:val="5"/>
        <w:tabs>
          <w:tab w:val="right" w:leader="dot" w:pos="8306"/>
        </w:tabs>
        <w:ind w:left="0" w:leftChars="0" w:firstLine="428" w:firstLineChars="200"/>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_Toc10391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lang w:val="en-US" w:eastAsia="zh-CN"/>
        </w:rPr>
        <w:t>（一）</w:t>
      </w:r>
      <w:r>
        <w:rPr>
          <w:rFonts w:hint="default" w:ascii="仿宋_GB2312" w:hAnsi="仿宋_GB2312" w:eastAsia="仿宋_GB2312" w:cs="仿宋_GB2312"/>
          <w:bCs/>
          <w:szCs w:val="28"/>
          <w:lang w:val="en-US" w:eastAsia="zh-CN"/>
        </w:rPr>
        <w:t>绩效目标细化、量化程度不足</w:t>
      </w:r>
      <w:r>
        <w:tab/>
      </w:r>
      <w:r>
        <w:fldChar w:fldCharType="begin"/>
      </w:r>
      <w:r>
        <w:instrText xml:space="preserve"> PAGEREF _Toc10391 \h </w:instrText>
      </w:r>
      <w:r>
        <w:fldChar w:fldCharType="separate"/>
      </w:r>
      <w:r>
        <w:t>12</w:t>
      </w:r>
      <w:r>
        <w:fldChar w:fldCharType="end"/>
      </w:r>
      <w:r>
        <w:rPr>
          <w:rFonts w:hint="eastAsia" w:ascii="仿宋_GB2312" w:hAnsi="仿宋_GB2312" w:eastAsia="仿宋_GB2312" w:cs="仿宋_GB2312"/>
          <w:spacing w:val="2"/>
          <w:szCs w:val="28"/>
          <w:highlight w:val="none"/>
        </w:rPr>
        <w:fldChar w:fldCharType="end"/>
      </w:r>
    </w:p>
    <w:p>
      <w:pPr>
        <w:pStyle w:val="5"/>
        <w:tabs>
          <w:tab w:val="right" w:leader="dot" w:pos="8306"/>
        </w:tabs>
        <w:ind w:left="0" w:leftChars="0" w:firstLine="428" w:firstLineChars="200"/>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_Toc15247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lang w:val="en-US" w:eastAsia="zh-CN"/>
        </w:rPr>
        <w:t>（二）预算额度与工作任务匹配性较差</w:t>
      </w:r>
      <w:r>
        <w:tab/>
      </w:r>
      <w:r>
        <w:fldChar w:fldCharType="begin"/>
      </w:r>
      <w:r>
        <w:instrText xml:space="preserve"> PAGEREF _Toc15247 \h </w:instrText>
      </w:r>
      <w:r>
        <w:fldChar w:fldCharType="separate"/>
      </w:r>
      <w:r>
        <w:t>13</w:t>
      </w:r>
      <w:r>
        <w:fldChar w:fldCharType="end"/>
      </w:r>
      <w:r>
        <w:rPr>
          <w:rFonts w:hint="eastAsia" w:ascii="仿宋_GB2312" w:hAnsi="仿宋_GB2312" w:eastAsia="仿宋_GB2312" w:cs="仿宋_GB2312"/>
          <w:spacing w:val="2"/>
          <w:szCs w:val="28"/>
          <w:highlight w:val="none"/>
        </w:rPr>
        <w:fldChar w:fldCharType="end"/>
      </w:r>
    </w:p>
    <w:p>
      <w:pPr>
        <w:pStyle w:val="5"/>
        <w:tabs>
          <w:tab w:val="right" w:leader="dot" w:pos="8306"/>
        </w:tabs>
        <w:ind w:left="0" w:leftChars="0" w:firstLine="428" w:firstLineChars="200"/>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_Toc19258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lang w:val="en-US" w:eastAsia="zh-CN"/>
        </w:rPr>
        <w:t>（三）财政资金支出率较低</w:t>
      </w:r>
      <w:r>
        <w:tab/>
      </w:r>
      <w:r>
        <w:fldChar w:fldCharType="begin"/>
      </w:r>
      <w:r>
        <w:instrText xml:space="preserve"> PAGEREF _Toc19258 \h </w:instrText>
      </w:r>
      <w:r>
        <w:fldChar w:fldCharType="separate"/>
      </w:r>
      <w:r>
        <w:t>14</w:t>
      </w:r>
      <w:r>
        <w:fldChar w:fldCharType="end"/>
      </w:r>
      <w:r>
        <w:rPr>
          <w:rFonts w:hint="eastAsia" w:ascii="仿宋_GB2312" w:hAnsi="仿宋_GB2312" w:eastAsia="仿宋_GB2312" w:cs="仿宋_GB2312"/>
          <w:spacing w:val="2"/>
          <w:szCs w:val="28"/>
          <w:highlight w:val="none"/>
        </w:rPr>
        <w:fldChar w:fldCharType="end"/>
      </w:r>
    </w:p>
    <w:p>
      <w:pPr>
        <w:pStyle w:val="5"/>
        <w:tabs>
          <w:tab w:val="right" w:leader="dot" w:pos="8306"/>
        </w:tabs>
        <w:ind w:left="0" w:leftChars="0" w:firstLine="428" w:firstLineChars="200"/>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_Toc25965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lang w:val="en-US" w:eastAsia="zh-CN"/>
        </w:rPr>
        <w:t>（四）</w:t>
      </w:r>
      <w:r>
        <w:rPr>
          <w:rFonts w:hint="eastAsia" w:ascii="仿宋_GB2312" w:hAnsi="仿宋_GB2312" w:eastAsia="仿宋_GB2312" w:cs="仿宋_GB2312"/>
          <w:bCs/>
          <w:szCs w:val="28"/>
        </w:rPr>
        <w:t>资金支付不规范，内控建设有待加强</w:t>
      </w:r>
      <w:r>
        <w:tab/>
      </w:r>
      <w:r>
        <w:fldChar w:fldCharType="begin"/>
      </w:r>
      <w:r>
        <w:instrText xml:space="preserve"> PAGEREF _Toc25965 \h </w:instrText>
      </w:r>
      <w:r>
        <w:fldChar w:fldCharType="separate"/>
      </w:r>
      <w:r>
        <w:t>14</w:t>
      </w:r>
      <w:r>
        <w:fldChar w:fldCharType="end"/>
      </w:r>
      <w:r>
        <w:rPr>
          <w:rFonts w:hint="eastAsia" w:ascii="仿宋_GB2312" w:hAnsi="仿宋_GB2312" w:eastAsia="仿宋_GB2312" w:cs="仿宋_GB2312"/>
          <w:spacing w:val="2"/>
          <w:szCs w:val="28"/>
          <w:highlight w:val="none"/>
        </w:rPr>
        <w:fldChar w:fldCharType="end"/>
      </w:r>
    </w:p>
    <w:p>
      <w:pPr>
        <w:pStyle w:val="5"/>
        <w:tabs>
          <w:tab w:val="right" w:leader="dot" w:pos="8306"/>
        </w:tabs>
        <w:ind w:left="0" w:leftChars="0" w:firstLine="428" w:firstLineChars="200"/>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_Toc8598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lang w:val="en-US" w:eastAsia="zh-CN"/>
        </w:rPr>
        <w:t>（五）项目管理制度不完善</w:t>
      </w:r>
      <w:r>
        <w:tab/>
      </w:r>
      <w:r>
        <w:fldChar w:fldCharType="begin"/>
      </w:r>
      <w:r>
        <w:instrText xml:space="preserve"> PAGEREF _Toc8598 \h </w:instrText>
      </w:r>
      <w:r>
        <w:fldChar w:fldCharType="separate"/>
      </w:r>
      <w:r>
        <w:t>14</w:t>
      </w:r>
      <w:r>
        <w:fldChar w:fldCharType="end"/>
      </w:r>
      <w:r>
        <w:rPr>
          <w:rFonts w:hint="eastAsia" w:ascii="仿宋_GB2312" w:hAnsi="仿宋_GB2312" w:eastAsia="仿宋_GB2312" w:cs="仿宋_GB2312"/>
          <w:spacing w:val="2"/>
          <w:szCs w:val="28"/>
          <w:highlight w:val="none"/>
        </w:rPr>
        <w:fldChar w:fldCharType="end"/>
      </w:r>
    </w:p>
    <w:p>
      <w:pPr>
        <w:pStyle w:val="5"/>
        <w:tabs>
          <w:tab w:val="right" w:leader="dot" w:pos="8306"/>
        </w:tabs>
        <w:ind w:left="0" w:leftChars="0" w:firstLine="428" w:firstLineChars="200"/>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_Toc13366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lang w:val="en-US" w:eastAsia="zh-CN"/>
        </w:rPr>
        <w:t>（六）合同签订内容不完整</w:t>
      </w:r>
      <w:r>
        <w:tab/>
      </w:r>
      <w:r>
        <w:fldChar w:fldCharType="begin"/>
      </w:r>
      <w:r>
        <w:instrText xml:space="preserve"> PAGEREF _Toc13366 \h </w:instrText>
      </w:r>
      <w:r>
        <w:fldChar w:fldCharType="separate"/>
      </w:r>
      <w:r>
        <w:t>14</w:t>
      </w:r>
      <w:r>
        <w:fldChar w:fldCharType="end"/>
      </w:r>
      <w:r>
        <w:rPr>
          <w:rFonts w:hint="eastAsia" w:ascii="仿宋_GB2312" w:hAnsi="仿宋_GB2312" w:eastAsia="仿宋_GB2312" w:cs="仿宋_GB2312"/>
          <w:spacing w:val="2"/>
          <w:szCs w:val="28"/>
          <w:highlight w:val="none"/>
        </w:rPr>
        <w:fldChar w:fldCharType="end"/>
      </w:r>
    </w:p>
    <w:p>
      <w:pPr>
        <w:pStyle w:val="9"/>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_Toc15820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lang w:val="en-US" w:eastAsia="zh-CN"/>
        </w:rPr>
        <w:t>（七）绩效理念不强，绩效管理工作有待提高</w:t>
      </w:r>
      <w:r>
        <w:tab/>
      </w:r>
      <w:r>
        <w:fldChar w:fldCharType="begin"/>
      </w:r>
      <w:r>
        <w:instrText xml:space="preserve"> PAGEREF _Toc15820 \h </w:instrText>
      </w:r>
      <w:r>
        <w:fldChar w:fldCharType="separate"/>
      </w:r>
      <w:r>
        <w:t>15</w:t>
      </w:r>
      <w:r>
        <w:fldChar w:fldCharType="end"/>
      </w:r>
      <w:r>
        <w:rPr>
          <w:rFonts w:hint="eastAsia" w:ascii="仿宋_GB2312" w:hAnsi="仿宋_GB2312" w:eastAsia="仿宋_GB2312" w:cs="仿宋_GB2312"/>
          <w:spacing w:val="2"/>
          <w:szCs w:val="28"/>
          <w:highlight w:val="none"/>
        </w:rPr>
        <w:fldChar w:fldCharType="end"/>
      </w:r>
    </w:p>
    <w:p>
      <w:pPr>
        <w:pStyle w:val="8"/>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_Toc16870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highlight w:val="none"/>
          <w:lang w:val="en-US" w:eastAsia="zh-CN"/>
        </w:rPr>
        <w:t>六</w:t>
      </w:r>
      <w:r>
        <w:rPr>
          <w:rFonts w:hint="eastAsia" w:ascii="仿宋_GB2312" w:hAnsi="仿宋_GB2312" w:eastAsia="仿宋_GB2312" w:cs="仿宋_GB2312"/>
          <w:bCs/>
          <w:szCs w:val="28"/>
          <w:highlight w:val="none"/>
        </w:rPr>
        <w:t>、有关建议</w:t>
      </w:r>
      <w:r>
        <w:tab/>
      </w:r>
      <w:r>
        <w:fldChar w:fldCharType="begin"/>
      </w:r>
      <w:r>
        <w:instrText xml:space="preserve"> PAGEREF _Toc16870 \h </w:instrText>
      </w:r>
      <w:r>
        <w:fldChar w:fldCharType="separate"/>
      </w:r>
      <w:r>
        <w:t>15</w:t>
      </w:r>
      <w:r>
        <w:fldChar w:fldCharType="end"/>
      </w:r>
      <w:r>
        <w:rPr>
          <w:rFonts w:hint="eastAsia" w:ascii="仿宋_GB2312" w:hAnsi="仿宋_GB2312" w:eastAsia="仿宋_GB2312" w:cs="仿宋_GB2312"/>
          <w:spacing w:val="2"/>
          <w:szCs w:val="28"/>
          <w:highlight w:val="none"/>
        </w:rPr>
        <w:fldChar w:fldCharType="end"/>
      </w:r>
    </w:p>
    <w:p>
      <w:pPr>
        <w:pStyle w:val="9"/>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_Toc31130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lang w:val="en-US" w:eastAsia="zh-CN"/>
        </w:rPr>
        <w:t>（一）强化绩效管理理念，规范设置绩效目标</w:t>
      </w:r>
      <w:r>
        <w:tab/>
      </w:r>
      <w:r>
        <w:fldChar w:fldCharType="begin"/>
      </w:r>
      <w:r>
        <w:instrText xml:space="preserve"> PAGEREF _Toc31130 \h </w:instrText>
      </w:r>
      <w:r>
        <w:fldChar w:fldCharType="separate"/>
      </w:r>
      <w:r>
        <w:t>15</w:t>
      </w:r>
      <w:r>
        <w:fldChar w:fldCharType="end"/>
      </w:r>
      <w:r>
        <w:rPr>
          <w:rFonts w:hint="eastAsia" w:ascii="仿宋_GB2312" w:hAnsi="仿宋_GB2312" w:eastAsia="仿宋_GB2312" w:cs="仿宋_GB2312"/>
          <w:spacing w:val="2"/>
          <w:szCs w:val="28"/>
          <w:highlight w:val="none"/>
        </w:rPr>
        <w:fldChar w:fldCharType="end"/>
      </w:r>
    </w:p>
    <w:p>
      <w:pPr>
        <w:pStyle w:val="9"/>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_Toc21910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lang w:val="en-US" w:eastAsia="zh-CN"/>
        </w:rPr>
        <w:t>（二）科学编制预算，提高预算执行率</w:t>
      </w:r>
      <w:r>
        <w:tab/>
      </w:r>
      <w:r>
        <w:fldChar w:fldCharType="begin"/>
      </w:r>
      <w:r>
        <w:instrText xml:space="preserve"> PAGEREF _Toc21910 \h </w:instrText>
      </w:r>
      <w:r>
        <w:fldChar w:fldCharType="separate"/>
      </w:r>
      <w:r>
        <w:t>16</w:t>
      </w:r>
      <w:r>
        <w:fldChar w:fldCharType="end"/>
      </w:r>
      <w:r>
        <w:rPr>
          <w:rFonts w:hint="eastAsia" w:ascii="仿宋_GB2312" w:hAnsi="仿宋_GB2312" w:eastAsia="仿宋_GB2312" w:cs="仿宋_GB2312"/>
          <w:spacing w:val="2"/>
          <w:szCs w:val="28"/>
          <w:highlight w:val="none"/>
        </w:rPr>
        <w:fldChar w:fldCharType="end"/>
      </w:r>
    </w:p>
    <w:p>
      <w:pPr>
        <w:pStyle w:val="9"/>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_Toc7564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lang w:val="en-US" w:eastAsia="zh-CN"/>
        </w:rPr>
        <w:t>（三）加强项目宣传，切实发挥项目效益</w:t>
      </w:r>
      <w:r>
        <w:tab/>
      </w:r>
      <w:r>
        <w:fldChar w:fldCharType="begin"/>
      </w:r>
      <w:r>
        <w:instrText xml:space="preserve"> PAGEREF _Toc7564 \h </w:instrText>
      </w:r>
      <w:r>
        <w:fldChar w:fldCharType="separate"/>
      </w:r>
      <w:r>
        <w:t>16</w:t>
      </w:r>
      <w:r>
        <w:fldChar w:fldCharType="end"/>
      </w:r>
      <w:r>
        <w:rPr>
          <w:rFonts w:hint="eastAsia" w:ascii="仿宋_GB2312" w:hAnsi="仿宋_GB2312" w:eastAsia="仿宋_GB2312" w:cs="仿宋_GB2312"/>
          <w:spacing w:val="2"/>
          <w:szCs w:val="28"/>
          <w:highlight w:val="none"/>
        </w:rPr>
        <w:fldChar w:fldCharType="end"/>
      </w:r>
    </w:p>
    <w:p>
      <w:pPr>
        <w:pStyle w:val="9"/>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_Toc16990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lang w:val="en-US" w:eastAsia="zh-CN"/>
        </w:rPr>
        <w:t>（四）严格资金管理，规范资金支付</w:t>
      </w:r>
      <w:r>
        <w:tab/>
      </w:r>
      <w:r>
        <w:fldChar w:fldCharType="begin"/>
      </w:r>
      <w:r>
        <w:instrText xml:space="preserve"> PAGEREF _Toc16990 \h </w:instrText>
      </w:r>
      <w:r>
        <w:fldChar w:fldCharType="separate"/>
      </w:r>
      <w:r>
        <w:t>16</w:t>
      </w:r>
      <w:r>
        <w:fldChar w:fldCharType="end"/>
      </w:r>
      <w:r>
        <w:rPr>
          <w:rFonts w:hint="eastAsia" w:ascii="仿宋_GB2312" w:hAnsi="仿宋_GB2312" w:eastAsia="仿宋_GB2312" w:cs="仿宋_GB2312"/>
          <w:spacing w:val="2"/>
          <w:szCs w:val="28"/>
          <w:highlight w:val="none"/>
        </w:rPr>
        <w:fldChar w:fldCharType="end"/>
      </w:r>
    </w:p>
    <w:p>
      <w:pPr>
        <w:pStyle w:val="9"/>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_Toc27771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szCs w:val="28"/>
          <w:lang w:val="en-US" w:eastAsia="zh-CN"/>
        </w:rPr>
        <w:t>（五）加强项目跟踪管理，重视绩效自评工作</w:t>
      </w:r>
      <w:r>
        <w:tab/>
      </w:r>
      <w:r>
        <w:fldChar w:fldCharType="begin"/>
      </w:r>
      <w:r>
        <w:instrText xml:space="preserve"> PAGEREF _Toc27771 \h </w:instrText>
      </w:r>
      <w:r>
        <w:fldChar w:fldCharType="separate"/>
      </w:r>
      <w:r>
        <w:t>16</w:t>
      </w:r>
      <w:r>
        <w:fldChar w:fldCharType="end"/>
      </w:r>
      <w:r>
        <w:rPr>
          <w:rFonts w:hint="eastAsia" w:ascii="仿宋_GB2312" w:hAnsi="仿宋_GB2312" w:eastAsia="仿宋_GB2312" w:cs="仿宋_GB2312"/>
          <w:spacing w:val="2"/>
          <w:szCs w:val="28"/>
          <w:highlight w:val="none"/>
        </w:rPr>
        <w:fldChar w:fldCharType="end"/>
      </w:r>
    </w:p>
    <w:p>
      <w:pPr>
        <w:pStyle w:val="8"/>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_Toc14422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val="0"/>
          <w:kern w:val="0"/>
          <w:szCs w:val="28"/>
          <w:lang w:val="en-US" w:eastAsia="zh-CN"/>
        </w:rPr>
        <w:t>七、其他需要说明的情况</w:t>
      </w:r>
      <w:r>
        <w:tab/>
      </w:r>
      <w:r>
        <w:fldChar w:fldCharType="begin"/>
      </w:r>
      <w:r>
        <w:instrText xml:space="preserve"> PAGEREF _Toc14422 \h </w:instrText>
      </w:r>
      <w:r>
        <w:fldChar w:fldCharType="separate"/>
      </w:r>
      <w:r>
        <w:t>17</w:t>
      </w:r>
      <w:r>
        <w:fldChar w:fldCharType="end"/>
      </w:r>
      <w:r>
        <w:rPr>
          <w:rFonts w:hint="eastAsia" w:ascii="仿宋_GB2312" w:hAnsi="仿宋_GB2312" w:eastAsia="仿宋_GB2312" w:cs="仿宋_GB2312"/>
          <w:spacing w:val="2"/>
          <w:szCs w:val="28"/>
          <w:highlight w:val="none"/>
        </w:rPr>
        <w:fldChar w:fldCharType="end"/>
      </w:r>
    </w:p>
    <w:p>
      <w:pPr>
        <w:pStyle w:val="9"/>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_Toc31324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kern w:val="0"/>
          <w:szCs w:val="28"/>
          <w:lang w:val="en-US" w:eastAsia="zh-CN"/>
        </w:rPr>
        <w:t>附件：1.2022年乌审旗图克镇民生实事人大代表票决制项目绩效评价指标体系及打分表</w:t>
      </w:r>
      <w:r>
        <w:tab/>
      </w:r>
      <w:r>
        <w:fldChar w:fldCharType="begin"/>
      </w:r>
      <w:r>
        <w:instrText xml:space="preserve"> PAGEREF _Toc31324 \h </w:instrText>
      </w:r>
      <w:r>
        <w:fldChar w:fldCharType="separate"/>
      </w:r>
      <w:r>
        <w:t>17</w:t>
      </w:r>
      <w:r>
        <w:fldChar w:fldCharType="end"/>
      </w:r>
      <w:r>
        <w:rPr>
          <w:rFonts w:hint="eastAsia" w:ascii="仿宋_GB2312" w:hAnsi="仿宋_GB2312" w:eastAsia="仿宋_GB2312" w:cs="仿宋_GB2312"/>
          <w:spacing w:val="2"/>
          <w:szCs w:val="28"/>
          <w:highlight w:val="none"/>
        </w:rPr>
        <w:fldChar w:fldCharType="end"/>
      </w:r>
    </w:p>
    <w:p>
      <w:pPr>
        <w:pStyle w:val="9"/>
        <w:tabs>
          <w:tab w:val="right" w:leader="dot" w:pos="8306"/>
        </w:tabs>
      </w:pPr>
      <w:r>
        <w:rPr>
          <w:rFonts w:hint="eastAsia" w:ascii="仿宋_GB2312" w:hAnsi="仿宋_GB2312" w:eastAsia="仿宋_GB2312" w:cs="仿宋_GB2312"/>
          <w:spacing w:val="2"/>
          <w:szCs w:val="28"/>
          <w:highlight w:val="none"/>
        </w:rPr>
        <w:fldChar w:fldCharType="begin"/>
      </w:r>
      <w:r>
        <w:rPr>
          <w:rFonts w:hint="eastAsia" w:ascii="仿宋_GB2312" w:hAnsi="仿宋_GB2312" w:eastAsia="仿宋_GB2312" w:cs="仿宋_GB2312"/>
          <w:spacing w:val="2"/>
          <w:szCs w:val="28"/>
          <w:highlight w:val="none"/>
        </w:rPr>
        <w:instrText xml:space="preserve"> HYPERLINK \l _Toc30457 </w:instrText>
      </w:r>
      <w:r>
        <w:rPr>
          <w:rFonts w:hint="eastAsia" w:ascii="仿宋_GB2312" w:hAnsi="仿宋_GB2312" w:eastAsia="仿宋_GB2312" w:cs="仿宋_GB2312"/>
          <w:spacing w:val="2"/>
          <w:szCs w:val="28"/>
          <w:highlight w:val="none"/>
        </w:rPr>
        <w:fldChar w:fldCharType="separate"/>
      </w:r>
      <w:r>
        <w:rPr>
          <w:rFonts w:hint="eastAsia" w:ascii="仿宋_GB2312" w:hAnsi="仿宋_GB2312" w:eastAsia="仿宋_GB2312" w:cs="仿宋_GB2312"/>
          <w:bCs/>
          <w:kern w:val="0"/>
          <w:szCs w:val="28"/>
          <w:lang w:val="en-US" w:eastAsia="zh-CN"/>
        </w:rPr>
        <w:t>2.专家意见汇总书</w:t>
      </w:r>
      <w:r>
        <w:tab/>
      </w:r>
      <w:r>
        <w:fldChar w:fldCharType="begin"/>
      </w:r>
      <w:r>
        <w:instrText xml:space="preserve"> PAGEREF _Toc30457 \h </w:instrText>
      </w:r>
      <w:r>
        <w:fldChar w:fldCharType="separate"/>
      </w:r>
      <w:r>
        <w:t>17</w:t>
      </w:r>
      <w:r>
        <w:fldChar w:fldCharType="end"/>
      </w:r>
      <w:r>
        <w:rPr>
          <w:rFonts w:hint="eastAsia" w:ascii="仿宋_GB2312" w:hAnsi="仿宋_GB2312" w:eastAsia="仿宋_GB2312" w:cs="仿宋_GB2312"/>
          <w:spacing w:val="2"/>
          <w:szCs w:val="28"/>
          <w:highlight w:val="none"/>
        </w:rPr>
        <w:fldChar w:fldCharType="end"/>
      </w:r>
    </w:p>
    <w:p>
      <w:pPr>
        <w:pStyle w:val="10"/>
        <w:widowControl w:val="0"/>
        <w:wordWrap/>
        <w:adjustRightInd/>
        <w:snapToGrid/>
        <w:spacing w:before="0" w:beforeAutospacing="0" w:after="0" w:afterAutospacing="0" w:line="360" w:lineRule="auto"/>
        <w:ind w:firstLine="488" w:firstLineChars="200"/>
        <w:jc w:val="both"/>
        <w:textAlignment w:val="auto"/>
        <w:rPr>
          <w:rFonts w:hint="eastAsia" w:ascii="仿宋_GB2312" w:hAnsi="仿宋_GB2312" w:eastAsia="仿宋_GB2312" w:cs="仿宋_GB2312"/>
          <w:spacing w:val="2"/>
          <w:sz w:val="28"/>
          <w:szCs w:val="28"/>
          <w:highlight w:val="none"/>
        </w:rPr>
      </w:pPr>
      <w:r>
        <w:rPr>
          <w:rFonts w:hint="eastAsia" w:ascii="仿宋_GB2312" w:hAnsi="仿宋_GB2312" w:eastAsia="仿宋_GB2312" w:cs="仿宋_GB2312"/>
          <w:spacing w:val="2"/>
          <w:szCs w:val="28"/>
          <w:highlight w:val="none"/>
        </w:rPr>
        <w:fldChar w:fldCharType="end"/>
      </w:r>
    </w:p>
    <w:p>
      <w:pPr>
        <w:pStyle w:val="10"/>
        <w:widowControl w:val="0"/>
        <w:wordWrap/>
        <w:adjustRightInd/>
        <w:snapToGrid/>
        <w:spacing w:before="0" w:beforeAutospacing="0" w:after="0" w:afterAutospacing="0" w:line="360" w:lineRule="auto"/>
        <w:ind w:firstLine="568" w:firstLineChars="200"/>
        <w:jc w:val="both"/>
        <w:textAlignment w:val="auto"/>
        <w:rPr>
          <w:rFonts w:hint="eastAsia" w:ascii="仿宋_GB2312" w:hAnsi="仿宋_GB2312" w:eastAsia="仿宋_GB2312" w:cs="仿宋_GB2312"/>
          <w:spacing w:val="2"/>
          <w:sz w:val="28"/>
          <w:szCs w:val="28"/>
          <w:highlight w:val="none"/>
        </w:rPr>
        <w:sectPr>
          <w:headerReference r:id="rId4" w:type="default"/>
          <w:footerReference r:id="rId5" w:type="default"/>
          <w:pgSz w:w="11906" w:h="16838"/>
          <w:pgMar w:top="1440" w:right="1800" w:bottom="1440" w:left="1800" w:header="851" w:footer="992" w:gutter="0"/>
          <w:pgBorders w:offsetFrom="page">
            <w:top w:val="none" w:color="auto" w:sz="0" w:space="0"/>
            <w:left w:val="none" w:color="auto" w:sz="0" w:space="0"/>
            <w:bottom w:val="none" w:color="auto" w:sz="0" w:space="0"/>
            <w:right w:val="none" w:color="auto" w:sz="0" w:space="0"/>
          </w:pgBorders>
          <w:cols w:space="720" w:num="1"/>
          <w:docGrid w:type="lines" w:linePitch="312" w:charSpace="0"/>
        </w:sectPr>
      </w:pPr>
    </w:p>
    <w:p>
      <w:pPr>
        <w:pStyle w:val="10"/>
        <w:widowControl/>
        <w:jc w:val="center"/>
        <w:outlineLvl w:val="0"/>
        <w:rPr>
          <w:rFonts w:hint="eastAsia" w:ascii="仿宋" w:hAnsi="仿宋" w:eastAsia="仿宋" w:cs="仿宋"/>
          <w:b/>
          <w:bCs/>
          <w:spacing w:val="-20"/>
          <w:sz w:val="44"/>
          <w:szCs w:val="44"/>
        </w:rPr>
      </w:pPr>
      <w:bookmarkStart w:id="102" w:name="_Toc2589"/>
      <w:bookmarkStart w:id="103" w:name="_Toc12949"/>
      <w:bookmarkStart w:id="104" w:name="_Toc13495"/>
      <w:r>
        <w:rPr>
          <w:rFonts w:hint="eastAsia" w:ascii="仿宋" w:hAnsi="仿宋" w:eastAsia="仿宋" w:cs="仿宋"/>
          <w:b/>
          <w:bCs/>
          <w:spacing w:val="-20"/>
          <w:sz w:val="44"/>
          <w:szCs w:val="44"/>
        </w:rPr>
        <w:t>2022年度乌审旗</w:t>
      </w:r>
      <w:r>
        <w:rPr>
          <w:rFonts w:hint="eastAsia" w:ascii="仿宋" w:hAnsi="仿宋" w:eastAsia="仿宋" w:cs="仿宋"/>
          <w:b/>
          <w:bCs/>
          <w:spacing w:val="-20"/>
          <w:sz w:val="44"/>
          <w:szCs w:val="44"/>
          <w:lang w:val="en-US" w:eastAsia="zh-CN"/>
        </w:rPr>
        <w:t>图克镇五</w:t>
      </w:r>
      <w:r>
        <w:rPr>
          <w:rFonts w:hint="eastAsia" w:ascii="仿宋" w:hAnsi="仿宋" w:eastAsia="仿宋" w:cs="仿宋"/>
          <w:b/>
          <w:bCs/>
          <w:spacing w:val="-20"/>
          <w:sz w:val="44"/>
          <w:szCs w:val="44"/>
        </w:rPr>
        <w:t>件民生实事</w:t>
      </w:r>
      <w:bookmarkEnd w:id="102"/>
      <w:bookmarkEnd w:id="103"/>
      <w:bookmarkEnd w:id="104"/>
    </w:p>
    <w:p>
      <w:pPr>
        <w:pStyle w:val="10"/>
        <w:widowControl/>
        <w:jc w:val="center"/>
        <w:rPr>
          <w:rFonts w:hint="eastAsia" w:ascii="仿宋" w:hAnsi="仿宋" w:eastAsia="仿宋" w:cs="仿宋"/>
          <w:b/>
          <w:bCs/>
          <w:spacing w:val="-20"/>
          <w:sz w:val="44"/>
          <w:szCs w:val="44"/>
        </w:rPr>
      </w:pPr>
      <w:r>
        <w:rPr>
          <w:rFonts w:hint="eastAsia" w:ascii="仿宋" w:hAnsi="仿宋" w:eastAsia="仿宋" w:cs="仿宋"/>
          <w:b/>
          <w:bCs/>
          <w:spacing w:val="-20"/>
          <w:sz w:val="44"/>
          <w:szCs w:val="44"/>
          <w:lang w:val="en-US" w:eastAsia="zh-CN"/>
        </w:rPr>
        <w:t>人大代表票决制</w:t>
      </w:r>
      <w:r>
        <w:rPr>
          <w:rFonts w:hint="eastAsia" w:ascii="仿宋" w:hAnsi="仿宋" w:eastAsia="仿宋" w:cs="仿宋"/>
          <w:b/>
          <w:bCs/>
          <w:spacing w:val="-20"/>
          <w:sz w:val="44"/>
          <w:szCs w:val="44"/>
        </w:rPr>
        <w:t>项目</w:t>
      </w:r>
    </w:p>
    <w:p>
      <w:pPr>
        <w:pStyle w:val="10"/>
        <w:widowControl/>
        <w:jc w:val="center"/>
        <w:rPr>
          <w:rFonts w:hint="eastAsia" w:ascii="仿宋" w:hAnsi="仿宋" w:eastAsia="仿宋" w:cs="仿宋"/>
          <w:b/>
          <w:bCs/>
          <w:sz w:val="44"/>
          <w:szCs w:val="44"/>
        </w:rPr>
      </w:pPr>
      <w:r>
        <w:rPr>
          <w:rFonts w:hint="eastAsia" w:ascii="仿宋" w:hAnsi="仿宋" w:eastAsia="仿宋" w:cs="仿宋"/>
          <w:b/>
          <w:bCs/>
          <w:spacing w:val="-20"/>
          <w:sz w:val="44"/>
          <w:szCs w:val="44"/>
        </w:rPr>
        <w:t>绩效评价报告</w:t>
      </w:r>
    </w:p>
    <w:p>
      <w:pPr>
        <w:pStyle w:val="10"/>
        <w:widowControl w:val="0"/>
        <w:wordWrap/>
        <w:adjustRightInd/>
        <w:snapToGrid/>
        <w:spacing w:line="360" w:lineRule="auto"/>
        <w:ind w:firstLine="480" w:firstLineChars="200"/>
        <w:jc w:val="righ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4"/>
          <w:szCs w:val="24"/>
          <w:lang w:val="en-US" w:eastAsia="zh-CN"/>
        </w:rPr>
        <w:t>星舟</w:t>
      </w:r>
      <w:r>
        <w:rPr>
          <w:rFonts w:hint="eastAsia" w:ascii="仿宋_GB2312" w:hAnsi="仿宋_GB2312" w:eastAsia="仿宋_GB2312" w:cs="仿宋_GB2312"/>
          <w:sz w:val="24"/>
          <w:szCs w:val="24"/>
        </w:rPr>
        <w:t>绩评字[202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]第</w:t>
      </w:r>
      <w:r>
        <w:rPr>
          <w:rFonts w:hint="eastAsia" w:ascii="仿宋_GB2312" w:hAnsi="仿宋_GB2312" w:eastAsia="仿宋_GB2312" w:cs="仿宋_GB2312"/>
          <w:sz w:val="24"/>
          <w:szCs w:val="24"/>
          <w:highlight w:val="none"/>
          <w:lang w:val="en-US" w:eastAsia="zh-CN"/>
        </w:rPr>
        <w:t>5007</w:t>
      </w:r>
      <w:r>
        <w:rPr>
          <w:rFonts w:hint="eastAsia" w:ascii="仿宋_GB2312" w:hAnsi="仿宋_GB2312" w:eastAsia="仿宋_GB2312" w:cs="仿宋_GB2312"/>
          <w:sz w:val="24"/>
          <w:szCs w:val="24"/>
        </w:rPr>
        <w:t>号</w:t>
      </w:r>
      <w:r>
        <w:rPr>
          <w:rFonts w:hint="eastAsia" w:ascii="仿宋_GB2312" w:hAnsi="仿宋_GB2312" w:eastAsia="仿宋_GB2312" w:cs="仿宋_GB2312"/>
          <w:sz w:val="28"/>
          <w:szCs w:val="28"/>
          <w:highlight w:val="none"/>
        </w:rPr>
        <w:t xml:space="preserve"> </w:t>
      </w:r>
    </w:p>
    <w:p>
      <w:pPr>
        <w:pStyle w:val="10"/>
        <w:widowControl w:val="0"/>
        <w:wordWrap/>
        <w:adjustRightInd/>
        <w:snapToGrid/>
        <w:spacing w:before="0" w:beforeAutospacing="0" w:after="0" w:afterAutospacing="0" w:line="360" w:lineRule="auto"/>
        <w:ind w:firstLine="560" w:firstLineChars="200"/>
        <w:jc w:val="both"/>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根据</w:t>
      </w:r>
      <w:r>
        <w:rPr>
          <w:rFonts w:hint="eastAsia" w:ascii="仿宋_GB2312" w:hAnsi="仿宋_GB2312" w:eastAsia="仿宋_GB2312" w:cs="仿宋_GB2312"/>
          <w:sz w:val="28"/>
          <w:szCs w:val="28"/>
          <w:highlight w:val="none"/>
          <w:lang w:val="en-US" w:eastAsia="zh-CN"/>
        </w:rPr>
        <w:t>《鄂尔多斯市人民政府关于全面实施预算绩效管理的意见》(鄂府发〔2020〕52号)和《鄂尔多斯市财政局关于印发&lt;鄂尔多斯市预算绩效管理实施办法&gt;的通知》(鄂财绩规发〔2020〕2号)等文件要求，星舟事务所受乌审旗财政局委托，于2023 年4月25日至5月30日，对2022年度乌审旗图克镇五件民生实事人大代表票决制项目财政资金使用情况实施绩效评价，形成了本绩效评价报告。</w:t>
      </w:r>
    </w:p>
    <w:p>
      <w:pPr>
        <w:pStyle w:val="10"/>
        <w:widowControl w:val="0"/>
        <w:wordWrap/>
        <w:adjustRightInd/>
        <w:snapToGrid/>
        <w:spacing w:before="0" w:beforeAutospacing="0" w:after="0" w:afterAutospacing="0" w:line="360" w:lineRule="auto"/>
        <w:ind w:firstLine="562" w:firstLineChars="200"/>
        <w:jc w:val="both"/>
        <w:textAlignment w:val="auto"/>
        <w:outlineLvl w:val="0"/>
        <w:rPr>
          <w:rFonts w:hint="eastAsia" w:ascii="仿宋_GB2312" w:hAnsi="仿宋_GB2312" w:eastAsia="仿宋_GB2312" w:cs="仿宋_GB2312"/>
          <w:sz w:val="28"/>
          <w:szCs w:val="28"/>
          <w:highlight w:val="none"/>
        </w:rPr>
      </w:pPr>
      <w:bookmarkStart w:id="105" w:name="_Toc4733"/>
      <w:bookmarkStart w:id="106" w:name="_Toc30064"/>
      <w:bookmarkStart w:id="107" w:name="_Toc10548"/>
      <w:bookmarkStart w:id="108" w:name="_Toc8938"/>
      <w:r>
        <w:rPr>
          <w:rFonts w:hint="eastAsia" w:ascii="仿宋_GB2312" w:hAnsi="仿宋_GB2312" w:eastAsia="仿宋_GB2312" w:cs="仿宋_GB2312"/>
          <w:b/>
          <w:bCs/>
          <w:sz w:val="28"/>
          <w:szCs w:val="28"/>
        </w:rPr>
        <w:t>一、</w:t>
      </w:r>
      <w:bookmarkEnd w:id="105"/>
      <w:r>
        <w:rPr>
          <w:rFonts w:hint="eastAsia" w:ascii="仿宋_GB2312" w:hAnsi="仿宋_GB2312" w:eastAsia="仿宋_GB2312" w:cs="仿宋_GB2312"/>
          <w:b/>
          <w:bCs/>
          <w:sz w:val="28"/>
          <w:szCs w:val="28"/>
          <w:lang w:val="en-US" w:eastAsia="zh-CN"/>
        </w:rPr>
        <w:t>项目概况</w:t>
      </w:r>
      <w:bookmarkEnd w:id="106"/>
      <w:bookmarkEnd w:id="107"/>
      <w:bookmarkEnd w:id="108"/>
      <w:r>
        <w:rPr>
          <w:rFonts w:hint="eastAsia" w:ascii="仿宋_GB2312" w:hAnsi="仿宋_GB2312" w:eastAsia="仿宋_GB2312" w:cs="仿宋_GB2312"/>
          <w:sz w:val="28"/>
          <w:szCs w:val="28"/>
          <w:highlight w:val="none"/>
        </w:rPr>
        <w:t xml:space="preserve"> </w:t>
      </w:r>
    </w:p>
    <w:p>
      <w:pPr>
        <w:pStyle w:val="10"/>
        <w:widowControl w:val="0"/>
        <w:wordWrap/>
        <w:adjustRightInd/>
        <w:snapToGrid/>
        <w:spacing w:before="0" w:beforeAutospacing="0" w:after="0" w:afterAutospacing="0" w:line="360" w:lineRule="auto"/>
        <w:ind w:firstLine="562" w:firstLineChars="200"/>
        <w:jc w:val="both"/>
        <w:textAlignment w:val="auto"/>
        <w:outlineLvl w:val="1"/>
        <w:rPr>
          <w:rFonts w:hint="eastAsia" w:ascii="仿宋_GB2312" w:hAnsi="仿宋_GB2312" w:eastAsia="仿宋_GB2312" w:cs="仿宋_GB2312"/>
          <w:sz w:val="28"/>
          <w:szCs w:val="28"/>
          <w:highlight w:val="none"/>
        </w:rPr>
      </w:pPr>
      <w:bookmarkStart w:id="109" w:name="_Toc3716"/>
      <w:bookmarkStart w:id="110" w:name="_Toc8169"/>
      <w:bookmarkStart w:id="111" w:name="_Toc3624"/>
      <w:bookmarkStart w:id="112" w:name="_Toc20284"/>
      <w:r>
        <w:rPr>
          <w:rFonts w:hint="eastAsia" w:ascii="仿宋_GB2312" w:hAnsi="仿宋_GB2312" w:eastAsia="仿宋_GB2312" w:cs="仿宋_GB2312"/>
          <w:b/>
          <w:bCs/>
          <w:sz w:val="28"/>
          <w:szCs w:val="28"/>
        </w:rPr>
        <w:t>（一）</w:t>
      </w:r>
      <w:bookmarkEnd w:id="109"/>
      <w:r>
        <w:rPr>
          <w:rFonts w:hint="eastAsia" w:ascii="仿宋_GB2312" w:hAnsi="仿宋_GB2312" w:eastAsia="仿宋_GB2312" w:cs="仿宋_GB2312"/>
          <w:b/>
          <w:bCs/>
          <w:sz w:val="28"/>
          <w:szCs w:val="28"/>
          <w:lang w:val="en-US" w:eastAsia="zh-CN"/>
        </w:rPr>
        <w:t>基本情况</w:t>
      </w:r>
      <w:bookmarkEnd w:id="110"/>
      <w:bookmarkEnd w:id="111"/>
      <w:bookmarkEnd w:id="112"/>
      <w:r>
        <w:rPr>
          <w:rFonts w:hint="eastAsia" w:ascii="仿宋_GB2312" w:hAnsi="仿宋_GB2312" w:eastAsia="仿宋_GB2312" w:cs="仿宋_GB2312"/>
          <w:sz w:val="28"/>
          <w:szCs w:val="28"/>
          <w:highlight w:val="none"/>
        </w:rPr>
        <w:t xml:space="preserve"> </w:t>
      </w:r>
    </w:p>
    <w:p>
      <w:pPr>
        <w:pStyle w:val="10"/>
        <w:widowControl w:val="0"/>
        <w:wordWrap/>
        <w:adjustRightInd/>
        <w:snapToGrid/>
        <w:spacing w:before="0" w:beforeAutospacing="0" w:after="0" w:afterAutospacing="0" w:line="360" w:lineRule="auto"/>
        <w:ind w:firstLine="560" w:firstLineChars="200"/>
        <w:jc w:val="both"/>
        <w:textAlignment w:val="auto"/>
        <w:outlineLvl w:val="2"/>
        <w:rPr>
          <w:rFonts w:hint="default" w:ascii="仿宋_GB2312" w:hAnsi="仿宋_GB2312" w:eastAsia="仿宋_GB2312" w:cs="仿宋_GB2312"/>
          <w:b/>
          <w:bCs/>
          <w:sz w:val="28"/>
          <w:szCs w:val="28"/>
          <w:lang w:val="en-US" w:eastAsia="zh-CN"/>
        </w:rPr>
      </w:pPr>
      <w:bookmarkStart w:id="113" w:name="_Toc3732"/>
      <w:bookmarkStart w:id="114" w:name="_Toc6832"/>
      <w:bookmarkStart w:id="115" w:name="_Toc26407"/>
      <w:r>
        <w:rPr>
          <w:rFonts w:hint="eastAsia" w:ascii="仿宋_GB2312" w:hAnsi="仿宋_GB2312" w:eastAsia="仿宋_GB2312" w:cs="仿宋_GB2312"/>
          <w:b w:val="0"/>
          <w:bCs w:val="0"/>
          <w:sz w:val="28"/>
          <w:szCs w:val="28"/>
          <w:highlight w:val="none"/>
          <w:lang w:val="en-US" w:eastAsia="zh-CN"/>
        </w:rPr>
        <w:t>1.项目背景</w:t>
      </w:r>
      <w:bookmarkEnd w:id="113"/>
      <w:bookmarkEnd w:id="114"/>
      <w:bookmarkEnd w:id="115"/>
    </w:p>
    <w:p>
      <w:pPr>
        <w:pStyle w:val="10"/>
        <w:widowControl w:val="0"/>
        <w:wordWrap/>
        <w:adjustRightInd/>
        <w:snapToGrid/>
        <w:spacing w:before="0" w:beforeAutospacing="0" w:after="0" w:afterAutospacing="0" w:line="360" w:lineRule="auto"/>
        <w:ind w:firstLine="560" w:firstLineChars="200"/>
        <w:jc w:val="both"/>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乌审旗政府历来高度重视民生工作，在推进全旗经济发展的同时，着力解决一批人民群众关注的民生问题。2020年4月20日，乌审旗人民政府办公室印发《乌审旗人大代表票决制民生实事项目征集暂行办法的通知》（乌政办发〔2020〕24号），民生实事项目主要以政府财政性资金投入为主，由政府在全旗范围内实施具有普惠性、公益性且社会效益较为突出的民生类公共事业项目。涵盖教育、医疗、就业、交通、社保、住房、环保、社会治安等群众高度关注的热点问题，实施以来民生建设水平整体不断提升，市民群众的获得感、幸福感和安全感不断增强。</w:t>
      </w:r>
      <w:r>
        <w:rPr>
          <w:rFonts w:hint="eastAsia" w:ascii="仿宋_GB2312" w:hAnsi="仿宋_GB2312" w:eastAsia="仿宋_GB2312" w:cs="仿宋_GB2312"/>
          <w:sz w:val="28"/>
          <w:szCs w:val="28"/>
          <w:highlight w:val="none"/>
        </w:rPr>
        <w:t xml:space="preserve"> </w:t>
      </w:r>
    </w:p>
    <w:p>
      <w:pPr>
        <w:pStyle w:val="10"/>
        <w:widowControl w:val="0"/>
        <w:wordWrap/>
        <w:adjustRightInd/>
        <w:snapToGrid/>
        <w:spacing w:before="0" w:beforeAutospacing="0" w:after="0" w:afterAutospacing="0" w:line="360" w:lineRule="auto"/>
        <w:ind w:firstLine="560" w:firstLineChars="200"/>
        <w:jc w:val="both"/>
        <w:textAlignment w:val="auto"/>
        <w:outlineLvl w:val="1"/>
        <w:rPr>
          <w:rFonts w:hint="eastAsia" w:ascii="仿宋_GB2312" w:hAnsi="仿宋_GB2312" w:eastAsia="仿宋_GB2312" w:cs="仿宋_GB2312"/>
          <w:b w:val="0"/>
          <w:bCs w:val="0"/>
          <w:sz w:val="28"/>
          <w:szCs w:val="28"/>
          <w:highlight w:val="none"/>
          <w:lang w:eastAsia="zh-CN"/>
        </w:rPr>
      </w:pPr>
      <w:bookmarkStart w:id="116" w:name="_Toc8960"/>
      <w:bookmarkStart w:id="117" w:name="_Toc12026"/>
      <w:bookmarkStart w:id="118" w:name="_Toc16325"/>
      <w:bookmarkStart w:id="119" w:name="_Toc25275"/>
      <w:bookmarkStart w:id="120" w:name="_Toc6171"/>
      <w:bookmarkStart w:id="121" w:name="_Toc29786"/>
      <w:r>
        <w:rPr>
          <w:rFonts w:hint="eastAsia" w:ascii="仿宋_GB2312" w:hAnsi="仿宋_GB2312" w:eastAsia="仿宋_GB2312" w:cs="仿宋_GB2312"/>
          <w:b w:val="0"/>
          <w:bCs w:val="0"/>
          <w:sz w:val="28"/>
          <w:szCs w:val="28"/>
          <w:highlight w:val="none"/>
          <w:lang w:val="en-US" w:eastAsia="zh-CN"/>
        </w:rPr>
        <w:t>2022年4月7日，</w:t>
      </w:r>
      <w:r>
        <w:rPr>
          <w:rFonts w:hint="eastAsia" w:ascii="仿宋_GB2312" w:hAnsi="仿宋_GB2312" w:eastAsia="仿宋_GB2312" w:cs="仿宋_GB2312"/>
          <w:b w:val="0"/>
          <w:bCs w:val="0"/>
          <w:sz w:val="28"/>
          <w:szCs w:val="28"/>
          <w:highlight w:val="none"/>
          <w:lang w:eastAsia="zh-CN"/>
        </w:rPr>
        <w:t>图克镇第四届人民代表大会第二次会议票决确定镇级民生实事项目</w:t>
      </w:r>
      <w:r>
        <w:rPr>
          <w:rFonts w:hint="eastAsia" w:ascii="仿宋_GB2312" w:hAnsi="仿宋_GB2312" w:eastAsia="仿宋_GB2312" w:cs="仿宋_GB2312"/>
          <w:b w:val="0"/>
          <w:bCs w:val="0"/>
          <w:sz w:val="28"/>
          <w:szCs w:val="28"/>
          <w:highlight w:val="none"/>
          <w:lang w:val="en-US" w:eastAsia="zh-CN"/>
        </w:rPr>
        <w:t>5</w:t>
      </w:r>
      <w:r>
        <w:rPr>
          <w:rFonts w:hint="eastAsia" w:ascii="仿宋_GB2312" w:hAnsi="仿宋_GB2312" w:eastAsia="仿宋_GB2312" w:cs="仿宋_GB2312"/>
          <w:b w:val="0"/>
          <w:bCs w:val="0"/>
          <w:sz w:val="28"/>
          <w:szCs w:val="28"/>
          <w:highlight w:val="none"/>
          <w:lang w:eastAsia="zh-CN"/>
        </w:rPr>
        <w:t>项，</w:t>
      </w:r>
      <w:r>
        <w:rPr>
          <w:rFonts w:hint="eastAsia" w:ascii="仿宋_GB2312" w:hAnsi="仿宋_GB2312" w:eastAsia="仿宋_GB2312" w:cs="仿宋_GB2312"/>
          <w:b w:val="0"/>
          <w:bCs w:val="0"/>
          <w:sz w:val="28"/>
          <w:szCs w:val="28"/>
          <w:highlight w:val="none"/>
          <w:lang w:val="en-US" w:eastAsia="zh-CN"/>
        </w:rPr>
        <w:t>5</w:t>
      </w:r>
      <w:r>
        <w:rPr>
          <w:rFonts w:hint="eastAsia" w:ascii="仿宋_GB2312" w:hAnsi="仿宋_GB2312" w:eastAsia="仿宋_GB2312" w:cs="仿宋_GB2312"/>
          <w:b w:val="0"/>
          <w:bCs w:val="0"/>
          <w:sz w:val="28"/>
          <w:szCs w:val="28"/>
          <w:highlight w:val="none"/>
          <w:lang w:eastAsia="zh-CN"/>
        </w:rPr>
        <w:t>月</w:t>
      </w:r>
      <w:r>
        <w:rPr>
          <w:rFonts w:hint="eastAsia" w:ascii="仿宋_GB2312" w:hAnsi="仿宋_GB2312" w:eastAsia="仿宋_GB2312" w:cs="仿宋_GB2312"/>
          <w:b w:val="0"/>
          <w:bCs w:val="0"/>
          <w:sz w:val="28"/>
          <w:szCs w:val="28"/>
          <w:highlight w:val="none"/>
          <w:lang w:val="en-US" w:eastAsia="zh-CN"/>
        </w:rPr>
        <w:t>30</w:t>
      </w:r>
      <w:r>
        <w:rPr>
          <w:rFonts w:hint="eastAsia" w:ascii="仿宋_GB2312" w:hAnsi="仿宋_GB2312" w:eastAsia="仿宋_GB2312" w:cs="仿宋_GB2312"/>
          <w:b w:val="0"/>
          <w:bCs w:val="0"/>
          <w:sz w:val="28"/>
          <w:szCs w:val="28"/>
          <w:highlight w:val="none"/>
          <w:lang w:eastAsia="zh-CN"/>
        </w:rPr>
        <w:t>日，乌审旗</w:t>
      </w:r>
      <w:r>
        <w:rPr>
          <w:rFonts w:hint="eastAsia" w:ascii="仿宋_GB2312" w:hAnsi="仿宋_GB2312" w:eastAsia="仿宋_GB2312" w:cs="仿宋_GB2312"/>
          <w:b w:val="0"/>
          <w:bCs w:val="0"/>
          <w:sz w:val="28"/>
          <w:szCs w:val="28"/>
          <w:highlight w:val="none"/>
          <w:lang w:val="en-US" w:eastAsia="zh-CN"/>
        </w:rPr>
        <w:t>人民政府文件《乌审旗人民政府关于备案确认苏木镇2022 年民生实事票决制项目的通知》（乌政发〔2022〕15 号）予以备案确认</w:t>
      </w:r>
      <w:r>
        <w:rPr>
          <w:rFonts w:hint="eastAsia" w:ascii="仿宋_GB2312" w:hAnsi="仿宋_GB2312" w:eastAsia="仿宋_GB2312" w:cs="仿宋_GB2312"/>
          <w:b w:val="0"/>
          <w:bCs w:val="0"/>
          <w:sz w:val="28"/>
          <w:szCs w:val="28"/>
          <w:highlight w:val="none"/>
          <w:lang w:eastAsia="zh-CN"/>
        </w:rPr>
        <w:t>。包括肉牛、肉羊养殖补贴、补贴扶持农牧民建设棚圈、</w:t>
      </w:r>
      <w:r>
        <w:rPr>
          <w:rFonts w:hint="eastAsia" w:ascii="仿宋_GB2312" w:hAnsi="仿宋_GB2312" w:eastAsia="仿宋_GB2312" w:cs="仿宋_GB2312"/>
          <w:b w:val="0"/>
          <w:bCs w:val="0"/>
          <w:sz w:val="28"/>
          <w:szCs w:val="28"/>
          <w:highlight w:val="none"/>
          <w:lang w:val="en-US" w:eastAsia="zh-CN"/>
        </w:rPr>
        <w:t>安全住房改造</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旧城改造</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农村牧区通网试点工程</w:t>
      </w:r>
      <w:r>
        <w:rPr>
          <w:rFonts w:hint="eastAsia" w:ascii="仿宋_GB2312" w:hAnsi="仿宋_GB2312" w:eastAsia="仿宋_GB2312" w:cs="仿宋_GB2312"/>
          <w:b w:val="0"/>
          <w:bCs w:val="0"/>
          <w:sz w:val="28"/>
          <w:szCs w:val="28"/>
          <w:highlight w:val="none"/>
          <w:lang w:eastAsia="zh-CN"/>
        </w:rPr>
        <w:t>。</w:t>
      </w:r>
      <w:bookmarkEnd w:id="116"/>
      <w:bookmarkEnd w:id="117"/>
      <w:bookmarkEnd w:id="118"/>
      <w:bookmarkEnd w:id="119"/>
      <w:bookmarkEnd w:id="120"/>
    </w:p>
    <w:p>
      <w:pPr>
        <w:pStyle w:val="10"/>
        <w:widowControl w:val="0"/>
        <w:wordWrap/>
        <w:adjustRightInd/>
        <w:snapToGrid/>
        <w:spacing w:before="0" w:beforeAutospacing="0" w:after="0" w:afterAutospacing="0" w:line="360" w:lineRule="auto"/>
        <w:ind w:firstLine="560" w:firstLineChars="200"/>
        <w:jc w:val="both"/>
        <w:textAlignment w:val="auto"/>
        <w:outlineLvl w:val="2"/>
        <w:rPr>
          <w:rFonts w:hint="default" w:ascii="仿宋_GB2312" w:hAnsi="仿宋_GB2312" w:eastAsia="仿宋_GB2312" w:cs="仿宋_GB2312"/>
          <w:sz w:val="28"/>
          <w:szCs w:val="28"/>
          <w:highlight w:val="none"/>
          <w:lang w:val="en-US" w:eastAsia="zh-CN"/>
        </w:rPr>
      </w:pPr>
      <w:bookmarkStart w:id="122" w:name="_Toc17261"/>
      <w:bookmarkStart w:id="123" w:name="_Toc21642"/>
      <w:bookmarkStart w:id="124" w:name="_Toc13528"/>
      <w:bookmarkStart w:id="125" w:name="_Toc17864"/>
      <w:bookmarkStart w:id="126" w:name="_Toc1662"/>
      <w:r>
        <w:rPr>
          <w:rFonts w:hint="eastAsia" w:ascii="仿宋_GB2312" w:hAnsi="仿宋_GB2312" w:eastAsia="仿宋_GB2312" w:cs="仿宋_GB2312"/>
          <w:b w:val="0"/>
          <w:bCs w:val="0"/>
          <w:sz w:val="28"/>
          <w:szCs w:val="28"/>
          <w:highlight w:val="none"/>
          <w:lang w:val="en-US" w:eastAsia="zh-CN"/>
        </w:rPr>
        <w:t>2.主要内容</w:t>
      </w:r>
      <w:bookmarkEnd w:id="121"/>
      <w:bookmarkEnd w:id="122"/>
      <w:bookmarkEnd w:id="123"/>
      <w:bookmarkEnd w:id="124"/>
      <w:bookmarkEnd w:id="125"/>
      <w:bookmarkEnd w:id="126"/>
    </w:p>
    <w:p>
      <w:pPr>
        <w:pStyle w:val="10"/>
        <w:widowControl w:val="0"/>
        <w:numPr>
          <w:numId w:val="0"/>
        </w:numPr>
        <w:wordWrap/>
        <w:adjustRightInd/>
        <w:snapToGrid/>
        <w:spacing w:before="0" w:beforeAutospacing="0" w:after="0" w:afterAutospacing="0" w:line="360" w:lineRule="auto"/>
        <w:ind w:right="0" w:firstLine="560" w:firstLineChars="200"/>
        <w:jc w:val="both"/>
        <w:textAlignment w:val="auto"/>
        <w:outlineLvl w:val="1"/>
        <w:rPr>
          <w:rFonts w:hint="default" w:ascii="仿宋_GB2312" w:hAnsi="仿宋_GB2312" w:eastAsia="仿宋_GB2312" w:cs="仿宋_GB2312"/>
          <w:sz w:val="28"/>
          <w:szCs w:val="28"/>
          <w:highlight w:val="none"/>
          <w:lang w:val="en-US" w:eastAsia="zh-CN"/>
        </w:rPr>
      </w:pPr>
      <w:bookmarkStart w:id="127" w:name="_Toc17854"/>
      <w:bookmarkStart w:id="128" w:name="_Toc30850"/>
      <w:bookmarkStart w:id="129" w:name="_Toc22365"/>
      <w:bookmarkStart w:id="130" w:name="_Toc8533"/>
      <w:bookmarkStart w:id="131" w:name="_Toc32298"/>
      <w:bookmarkStart w:id="132" w:name="_Toc5128"/>
      <w:r>
        <w:rPr>
          <w:rFonts w:hint="eastAsia" w:ascii="仿宋_GB2312" w:hAnsi="仿宋_GB2312" w:eastAsia="仿宋_GB2312" w:cs="仿宋_GB2312"/>
          <w:sz w:val="28"/>
          <w:szCs w:val="28"/>
          <w:highlight w:val="none"/>
          <w:lang w:val="en-US" w:eastAsia="zh-CN"/>
        </w:rPr>
        <w:t>2022年度图克镇民生实事人大代表票决制项目共5项，投资额度500万元。</w:t>
      </w:r>
      <w:bookmarkEnd w:id="127"/>
      <w:bookmarkEnd w:id="128"/>
    </w:p>
    <w:p>
      <w:pPr>
        <w:pStyle w:val="10"/>
        <w:widowControl w:val="0"/>
        <w:numPr>
          <w:numId w:val="0"/>
        </w:numPr>
        <w:wordWrap/>
        <w:adjustRightInd/>
        <w:snapToGrid/>
        <w:spacing w:before="0" w:beforeAutospacing="0" w:after="0" w:afterAutospacing="0" w:line="360" w:lineRule="auto"/>
        <w:ind w:right="0" w:firstLine="560" w:firstLineChars="200"/>
        <w:jc w:val="both"/>
        <w:textAlignment w:val="auto"/>
        <w:outlineLvl w:val="1"/>
        <w:rPr>
          <w:rFonts w:hint="default" w:ascii="仿宋_GB2312" w:hAnsi="仿宋_GB2312" w:eastAsia="仿宋_GB2312" w:cs="仿宋_GB2312"/>
          <w:sz w:val="28"/>
          <w:szCs w:val="28"/>
          <w:highlight w:val="none"/>
          <w:lang w:val="en-US" w:eastAsia="zh-CN"/>
        </w:rPr>
      </w:pPr>
      <w:bookmarkStart w:id="133" w:name="_Toc4289"/>
      <w:bookmarkStart w:id="134" w:name="_Toc11134"/>
      <w:r>
        <w:rPr>
          <w:rFonts w:hint="eastAsia" w:ascii="仿宋_GB2312" w:hAnsi="仿宋_GB2312" w:eastAsia="仿宋_GB2312" w:cs="仿宋_GB2312"/>
          <w:sz w:val="28"/>
          <w:szCs w:val="28"/>
          <w:highlight w:val="none"/>
          <w:lang w:val="en-US" w:eastAsia="zh-CN"/>
        </w:rPr>
        <w:t>（1）肉牛、肉羊养殖补贴。计划在全镇实施优质肉牛肉羊品种引进补贴工程。每头牛补贴5000元，全镇补贴100头；肉羊每只补贴500元，全镇补贴1000只。</w:t>
      </w:r>
      <w:bookmarkEnd w:id="129"/>
      <w:bookmarkEnd w:id="130"/>
      <w:bookmarkEnd w:id="131"/>
      <w:r>
        <w:rPr>
          <w:rFonts w:hint="eastAsia" w:ascii="仿宋_GB2312" w:hAnsi="仿宋_GB2312" w:eastAsia="仿宋_GB2312" w:cs="仿宋_GB2312"/>
          <w:sz w:val="28"/>
          <w:szCs w:val="28"/>
          <w:highlight w:val="none"/>
          <w:lang w:val="en-US" w:eastAsia="zh-CN"/>
        </w:rPr>
        <w:t>投资额度100万元。</w:t>
      </w:r>
      <w:bookmarkEnd w:id="133"/>
      <w:bookmarkEnd w:id="134"/>
    </w:p>
    <w:p>
      <w:pPr>
        <w:pStyle w:val="10"/>
        <w:widowControl w:val="0"/>
        <w:numPr>
          <w:numId w:val="0"/>
        </w:numPr>
        <w:wordWrap/>
        <w:adjustRightInd/>
        <w:snapToGrid/>
        <w:spacing w:before="0" w:beforeAutospacing="0" w:after="0" w:afterAutospacing="0" w:line="360" w:lineRule="auto"/>
        <w:ind w:right="0" w:firstLine="560" w:firstLineChars="200"/>
        <w:jc w:val="both"/>
        <w:textAlignment w:val="auto"/>
        <w:outlineLvl w:val="1"/>
        <w:rPr>
          <w:rFonts w:hint="default" w:ascii="仿宋_GB2312" w:hAnsi="仿宋_GB2312" w:eastAsia="仿宋_GB2312" w:cs="仿宋_GB2312"/>
          <w:sz w:val="28"/>
          <w:szCs w:val="28"/>
          <w:highlight w:val="none"/>
          <w:lang w:val="en-US" w:eastAsia="zh-CN"/>
        </w:rPr>
      </w:pPr>
      <w:bookmarkStart w:id="135" w:name="_Toc21235"/>
      <w:bookmarkStart w:id="136" w:name="_Toc23361"/>
      <w:bookmarkStart w:id="137" w:name="_Toc32305"/>
      <w:bookmarkStart w:id="138" w:name="_Toc28950"/>
      <w:bookmarkStart w:id="139" w:name="_Toc10894"/>
      <w:r>
        <w:rPr>
          <w:rFonts w:hint="eastAsia" w:ascii="仿宋_GB2312" w:hAnsi="仿宋_GB2312" w:eastAsia="仿宋_GB2312" w:cs="仿宋_GB2312"/>
          <w:sz w:val="28"/>
          <w:szCs w:val="28"/>
          <w:highlight w:val="none"/>
          <w:lang w:val="en-US" w:eastAsia="zh-CN"/>
        </w:rPr>
        <w:t>（2）补贴扶持农牧民建设棚圈。</w:t>
      </w:r>
      <w:bookmarkEnd w:id="135"/>
      <w:bookmarkEnd w:id="136"/>
      <w:bookmarkEnd w:id="137"/>
      <w:r>
        <w:rPr>
          <w:rFonts w:hint="eastAsia" w:ascii="仿宋_GB2312" w:hAnsi="仿宋_GB2312" w:eastAsia="仿宋_GB2312" w:cs="仿宋_GB2312"/>
          <w:sz w:val="28"/>
          <w:szCs w:val="28"/>
          <w:highlight w:val="none"/>
          <w:lang w:val="en-US" w:eastAsia="zh-CN"/>
        </w:rPr>
        <w:t>为每户申请建设并达标的农牧户提供3万元补贴。投资额度205万元。</w:t>
      </w:r>
      <w:bookmarkEnd w:id="138"/>
      <w:bookmarkEnd w:id="139"/>
    </w:p>
    <w:p>
      <w:pPr>
        <w:pStyle w:val="10"/>
        <w:widowControl w:val="0"/>
        <w:numPr>
          <w:numId w:val="0"/>
        </w:numPr>
        <w:wordWrap/>
        <w:adjustRightInd/>
        <w:snapToGrid/>
        <w:spacing w:before="0" w:beforeAutospacing="0" w:after="0" w:afterAutospacing="0" w:line="360" w:lineRule="auto"/>
        <w:ind w:right="0" w:firstLine="560" w:firstLineChars="200"/>
        <w:jc w:val="both"/>
        <w:textAlignment w:val="auto"/>
        <w:outlineLvl w:val="1"/>
        <w:rPr>
          <w:rFonts w:hint="eastAsia" w:ascii="仿宋_GB2312" w:hAnsi="仿宋_GB2312" w:eastAsia="仿宋_GB2312" w:cs="仿宋_GB2312"/>
          <w:sz w:val="28"/>
          <w:szCs w:val="28"/>
          <w:highlight w:val="none"/>
          <w:lang w:val="en-US" w:eastAsia="zh-CN"/>
        </w:rPr>
      </w:pPr>
      <w:bookmarkStart w:id="140" w:name="_Toc14341"/>
      <w:bookmarkStart w:id="141" w:name="_Toc23366"/>
      <w:bookmarkStart w:id="142" w:name="_Toc15154"/>
      <w:bookmarkStart w:id="143" w:name="_Toc27959"/>
      <w:bookmarkStart w:id="144" w:name="_Toc25514"/>
      <w:r>
        <w:rPr>
          <w:rFonts w:hint="eastAsia" w:ascii="仿宋_GB2312" w:hAnsi="仿宋_GB2312" w:eastAsia="仿宋_GB2312" w:cs="仿宋_GB2312"/>
          <w:sz w:val="28"/>
          <w:szCs w:val="28"/>
          <w:highlight w:val="none"/>
          <w:lang w:val="en-US" w:eastAsia="zh-CN"/>
        </w:rPr>
        <w:t>（3）安全住房改造。计划为每户申请建设并达标的农牧 户提供1.5万元补贴。投资额度45万元。</w:t>
      </w:r>
      <w:bookmarkEnd w:id="140"/>
      <w:bookmarkEnd w:id="141"/>
      <w:bookmarkEnd w:id="142"/>
      <w:bookmarkEnd w:id="143"/>
      <w:bookmarkEnd w:id="144"/>
    </w:p>
    <w:p>
      <w:pPr>
        <w:pStyle w:val="10"/>
        <w:widowControl w:val="0"/>
        <w:numPr>
          <w:numId w:val="0"/>
        </w:numPr>
        <w:wordWrap/>
        <w:adjustRightInd/>
        <w:snapToGrid/>
        <w:spacing w:before="0" w:beforeAutospacing="0" w:after="0" w:afterAutospacing="0" w:line="360" w:lineRule="auto"/>
        <w:ind w:right="0" w:firstLine="560" w:firstLineChars="200"/>
        <w:jc w:val="both"/>
        <w:textAlignment w:val="auto"/>
        <w:outlineLvl w:val="1"/>
        <w:rPr>
          <w:rFonts w:hint="eastAsia" w:ascii="仿宋_GB2312" w:hAnsi="仿宋_GB2312" w:eastAsia="仿宋_GB2312" w:cs="仿宋_GB2312"/>
          <w:sz w:val="28"/>
          <w:szCs w:val="28"/>
          <w:highlight w:val="none"/>
          <w:lang w:val="en-US" w:eastAsia="zh-CN"/>
        </w:rPr>
      </w:pPr>
      <w:bookmarkStart w:id="145" w:name="_Toc32719"/>
      <w:bookmarkStart w:id="146" w:name="_Toc19936"/>
      <w:bookmarkStart w:id="147" w:name="_Toc8014"/>
      <w:bookmarkStart w:id="148" w:name="_Toc3576"/>
      <w:bookmarkStart w:id="149" w:name="_Toc11572"/>
      <w:r>
        <w:rPr>
          <w:rFonts w:hint="eastAsia" w:ascii="仿宋_GB2312" w:hAnsi="仿宋_GB2312" w:eastAsia="仿宋_GB2312" w:cs="仿宋_GB2312"/>
          <w:sz w:val="28"/>
          <w:szCs w:val="28"/>
          <w:highlight w:val="none"/>
          <w:lang w:val="en-US" w:eastAsia="zh-CN"/>
        </w:rPr>
        <w:t>（4）旧城改造。合理规划布局街道、提升公用工程质量，美化亮化街道。投资额度100万元。</w:t>
      </w:r>
      <w:bookmarkEnd w:id="145"/>
      <w:bookmarkEnd w:id="146"/>
      <w:bookmarkEnd w:id="147"/>
      <w:bookmarkEnd w:id="148"/>
      <w:bookmarkEnd w:id="149"/>
    </w:p>
    <w:p>
      <w:pPr>
        <w:pStyle w:val="10"/>
        <w:widowControl w:val="0"/>
        <w:numPr>
          <w:numId w:val="0"/>
        </w:numPr>
        <w:wordWrap/>
        <w:adjustRightInd/>
        <w:snapToGrid/>
        <w:spacing w:before="0" w:beforeAutospacing="0" w:after="0" w:afterAutospacing="0" w:line="360" w:lineRule="auto"/>
        <w:ind w:right="0" w:firstLine="560" w:firstLineChars="200"/>
        <w:jc w:val="both"/>
        <w:textAlignment w:val="auto"/>
        <w:outlineLvl w:val="1"/>
        <w:rPr>
          <w:rFonts w:hint="eastAsia" w:ascii="仿宋_GB2312" w:hAnsi="仿宋_GB2312" w:eastAsia="仿宋_GB2312" w:cs="仿宋_GB2312"/>
          <w:sz w:val="28"/>
          <w:szCs w:val="28"/>
          <w:highlight w:val="none"/>
          <w:lang w:val="en-US" w:eastAsia="zh-CN"/>
        </w:rPr>
      </w:pPr>
      <w:bookmarkStart w:id="150" w:name="_Toc28519"/>
      <w:bookmarkStart w:id="151" w:name="_Toc8097"/>
      <w:bookmarkStart w:id="152" w:name="_Toc31336"/>
      <w:bookmarkStart w:id="153" w:name="_Toc26292"/>
      <w:bookmarkStart w:id="154" w:name="_Toc15808"/>
      <w:r>
        <w:rPr>
          <w:rFonts w:hint="eastAsia" w:ascii="仿宋_GB2312" w:hAnsi="仿宋_GB2312" w:eastAsia="仿宋_GB2312" w:cs="仿宋_GB2312"/>
          <w:sz w:val="28"/>
          <w:szCs w:val="28"/>
          <w:highlight w:val="none"/>
          <w:lang w:val="en-US" w:eastAsia="zh-CN"/>
        </w:rPr>
        <w:t>（5）农村牧区通网试点工程。试点性的实施一部分农村牧区通网工程，提升网络质量。</w:t>
      </w:r>
      <w:bookmarkEnd w:id="150"/>
      <w:bookmarkEnd w:id="151"/>
      <w:bookmarkEnd w:id="152"/>
      <w:r>
        <w:rPr>
          <w:rFonts w:hint="eastAsia" w:ascii="仿宋_GB2312" w:hAnsi="仿宋_GB2312" w:eastAsia="仿宋_GB2312" w:cs="仿宋_GB2312"/>
          <w:sz w:val="28"/>
          <w:szCs w:val="28"/>
          <w:highlight w:val="none"/>
          <w:lang w:val="en-US" w:eastAsia="zh-CN"/>
        </w:rPr>
        <w:t>投资额度50万元。</w:t>
      </w:r>
      <w:bookmarkEnd w:id="153"/>
      <w:bookmarkEnd w:id="154"/>
    </w:p>
    <w:p>
      <w:pPr>
        <w:pStyle w:val="10"/>
        <w:widowControl w:val="0"/>
        <w:numPr>
          <w:numId w:val="0"/>
        </w:numPr>
        <w:wordWrap/>
        <w:adjustRightInd/>
        <w:snapToGrid/>
        <w:spacing w:before="0" w:beforeAutospacing="0" w:after="0" w:afterAutospacing="0" w:line="360" w:lineRule="auto"/>
        <w:ind w:right="0" w:firstLine="562" w:firstLineChars="200"/>
        <w:jc w:val="both"/>
        <w:textAlignment w:val="auto"/>
        <w:outlineLvl w:val="1"/>
        <w:rPr>
          <w:rFonts w:hint="default" w:ascii="仿宋_GB2312" w:hAnsi="仿宋_GB2312" w:eastAsia="仿宋_GB2312" w:cs="仿宋_GB2312"/>
          <w:b/>
          <w:bCs/>
          <w:sz w:val="28"/>
          <w:szCs w:val="28"/>
          <w:highlight w:val="none"/>
          <w:lang w:val="en-US" w:eastAsia="zh-CN"/>
        </w:rPr>
      </w:pPr>
      <w:bookmarkStart w:id="155" w:name="_Toc25157"/>
      <w:bookmarkStart w:id="156" w:name="_Toc1689"/>
      <w:bookmarkStart w:id="157" w:name="_Toc3064"/>
      <w:r>
        <w:rPr>
          <w:rFonts w:hint="eastAsia" w:ascii="仿宋_GB2312" w:hAnsi="仿宋_GB2312" w:eastAsia="仿宋_GB2312" w:cs="仿宋_GB2312"/>
          <w:b/>
          <w:bCs/>
          <w:sz w:val="28"/>
          <w:szCs w:val="28"/>
          <w:highlight w:val="none"/>
          <w:lang w:val="en-US" w:eastAsia="zh-CN"/>
        </w:rPr>
        <w:t>（二）项目资金投入及使用情况</w:t>
      </w:r>
      <w:bookmarkEnd w:id="155"/>
      <w:bookmarkEnd w:id="156"/>
      <w:bookmarkEnd w:id="157"/>
    </w:p>
    <w:p>
      <w:pPr>
        <w:pStyle w:val="10"/>
        <w:widowControl w:val="0"/>
        <w:numPr>
          <w:numId w:val="0"/>
        </w:numPr>
        <w:wordWrap/>
        <w:adjustRightInd/>
        <w:snapToGrid/>
        <w:spacing w:before="0" w:beforeAutospacing="0" w:after="0" w:afterAutospacing="0" w:line="360" w:lineRule="auto"/>
        <w:ind w:right="0" w:firstLine="560" w:firstLineChars="200"/>
        <w:jc w:val="both"/>
        <w:textAlignment w:val="auto"/>
        <w:outlineLvl w:val="1"/>
        <w:rPr>
          <w:rFonts w:hint="default" w:ascii="仿宋_GB2312" w:hAnsi="仿宋_GB2312" w:eastAsia="仿宋_GB2312" w:cs="仿宋_GB2312"/>
          <w:b w:val="0"/>
          <w:bCs w:val="0"/>
          <w:sz w:val="28"/>
          <w:szCs w:val="28"/>
          <w:highlight w:val="none"/>
          <w:lang w:val="en-US" w:eastAsia="zh-CN"/>
        </w:rPr>
      </w:pPr>
      <w:bookmarkStart w:id="158" w:name="_Toc11379"/>
      <w:bookmarkStart w:id="159" w:name="_Toc31288"/>
      <w:bookmarkStart w:id="160" w:name="_Toc3583"/>
      <w:bookmarkStart w:id="161" w:name="_Toc30907"/>
      <w:bookmarkStart w:id="162" w:name="_Toc26334"/>
      <w:r>
        <w:rPr>
          <w:rFonts w:hint="eastAsia" w:ascii="仿宋_GB2312" w:hAnsi="仿宋_GB2312" w:eastAsia="仿宋_GB2312" w:cs="仿宋_GB2312"/>
          <w:b w:val="0"/>
          <w:bCs w:val="0"/>
          <w:sz w:val="28"/>
          <w:szCs w:val="28"/>
          <w:highlight w:val="none"/>
          <w:lang w:val="en-US" w:eastAsia="zh-CN"/>
        </w:rPr>
        <w:t>民生实事人大代表票决制项目经费2022年初预算安排500万元，当年度实际资金使用为150万元，实际支出率为30%，本项目各子项目经费使用情况见下表：</w:t>
      </w:r>
      <w:bookmarkEnd w:id="158"/>
      <w:bookmarkEnd w:id="159"/>
      <w:bookmarkEnd w:id="160"/>
      <w:bookmarkEnd w:id="161"/>
      <w:bookmarkEnd w:id="162"/>
    </w:p>
    <w:p>
      <w:pPr>
        <w:pStyle w:val="10"/>
        <w:widowControl w:val="0"/>
        <w:numPr>
          <w:numId w:val="0"/>
        </w:numPr>
        <w:wordWrap/>
        <w:adjustRightInd/>
        <w:snapToGrid/>
        <w:spacing w:before="0" w:beforeAutospacing="0" w:after="0" w:afterAutospacing="0" w:line="360" w:lineRule="auto"/>
        <w:ind w:right="0"/>
        <w:jc w:val="center"/>
        <w:textAlignment w:val="auto"/>
        <w:outlineLvl w:val="9"/>
        <w:rPr>
          <w:rFonts w:hint="eastAsia" w:ascii="仿宋_GB2312" w:hAnsi="仿宋_GB2312" w:eastAsia="仿宋_GB2312" w:cs="仿宋_GB2312"/>
          <w:b/>
          <w:bCs/>
          <w:sz w:val="28"/>
          <w:szCs w:val="28"/>
          <w:highlight w:val="cyan"/>
          <w:lang w:val="en-US" w:eastAsia="zh-CN"/>
        </w:rPr>
      </w:pPr>
      <w:r>
        <w:rPr>
          <w:rFonts w:ascii="Calibri" w:hAnsi="Calibri" w:eastAsia="宋体" w:cs="Times New Roman"/>
          <w:kern w:val="0"/>
          <w:sz w:val="24"/>
          <w:szCs w:val="24"/>
          <w:lang w:val="en-US" w:eastAsia="zh-CN"/>
        </w:rPr>
        <w:pict>
          <v:shape id="图片 3" o:spid="_x0000_s1027" type="#_x0000_t75" style="height:156.7pt;width:414.8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pStyle w:val="10"/>
        <w:widowControl w:val="0"/>
        <w:numPr>
          <w:numId w:val="0"/>
        </w:numPr>
        <w:wordWrap/>
        <w:adjustRightInd/>
        <w:snapToGrid/>
        <w:spacing w:before="0" w:beforeAutospacing="0" w:after="0" w:afterAutospacing="0" w:line="360" w:lineRule="auto"/>
        <w:ind w:right="0" w:firstLine="562" w:firstLineChars="200"/>
        <w:jc w:val="both"/>
        <w:textAlignment w:val="auto"/>
        <w:outlineLvl w:val="1"/>
        <w:rPr>
          <w:rFonts w:hint="eastAsia" w:ascii="仿宋_GB2312" w:hAnsi="仿宋_GB2312" w:eastAsia="仿宋_GB2312" w:cs="仿宋_GB2312"/>
          <w:sz w:val="28"/>
          <w:szCs w:val="28"/>
          <w:highlight w:val="none"/>
          <w:lang w:val="en-US" w:eastAsia="zh-CN"/>
        </w:rPr>
      </w:pPr>
      <w:bookmarkStart w:id="163" w:name="_Toc32283"/>
      <w:bookmarkStart w:id="164" w:name="_Toc30823"/>
      <w:bookmarkStart w:id="165" w:name="_Toc15831"/>
      <w:r>
        <w:rPr>
          <w:rFonts w:hint="eastAsia" w:ascii="仿宋_GB2312" w:hAnsi="仿宋_GB2312" w:eastAsia="仿宋_GB2312" w:cs="仿宋_GB2312"/>
          <w:b/>
          <w:bCs/>
          <w:sz w:val="28"/>
          <w:szCs w:val="28"/>
          <w:highlight w:val="none"/>
          <w:lang w:val="en-US" w:eastAsia="zh-CN"/>
        </w:rPr>
        <w:t>（三）项目实施情况</w:t>
      </w:r>
      <w:bookmarkEnd w:id="132"/>
      <w:bookmarkEnd w:id="163"/>
      <w:bookmarkEnd w:id="164"/>
      <w:bookmarkEnd w:id="165"/>
    </w:p>
    <w:p>
      <w:pPr>
        <w:pStyle w:val="10"/>
        <w:widowControl w:val="0"/>
        <w:numPr>
          <w:numId w:val="0"/>
        </w:numPr>
        <w:wordWrap/>
        <w:adjustRightInd/>
        <w:snapToGrid/>
        <w:spacing w:before="0" w:beforeAutospacing="0" w:after="0" w:afterAutospacing="0" w:line="360" w:lineRule="auto"/>
        <w:ind w:right="0" w:firstLine="560" w:firstLineChars="200"/>
        <w:jc w:val="both"/>
        <w:textAlignment w:val="auto"/>
        <w:outlineLvl w:val="2"/>
        <w:rPr>
          <w:rFonts w:hint="default" w:ascii="仿宋_GB2312" w:hAnsi="仿宋_GB2312" w:eastAsia="仿宋_GB2312" w:cs="仿宋_GB2312"/>
          <w:sz w:val="28"/>
          <w:szCs w:val="28"/>
          <w:highlight w:val="none"/>
          <w:lang w:val="en-US" w:eastAsia="zh-CN"/>
        </w:rPr>
      </w:pPr>
      <w:bookmarkStart w:id="166" w:name="_Toc1037"/>
      <w:bookmarkStart w:id="167" w:name="_Toc9767"/>
      <w:bookmarkStart w:id="168" w:name="_Toc29216"/>
      <w:r>
        <w:rPr>
          <w:rFonts w:hint="eastAsia" w:ascii="仿宋_GB2312" w:hAnsi="仿宋_GB2312" w:eastAsia="仿宋_GB2312" w:cs="仿宋_GB2312"/>
          <w:b w:val="0"/>
          <w:bCs w:val="0"/>
          <w:sz w:val="28"/>
          <w:szCs w:val="28"/>
          <w:highlight w:val="none"/>
          <w:lang w:val="en-US" w:eastAsia="zh-CN"/>
        </w:rPr>
        <w:t>1.肉牛、肉羊养殖补贴项目</w:t>
      </w:r>
      <w:bookmarkEnd w:id="166"/>
      <w:bookmarkEnd w:id="167"/>
      <w:bookmarkEnd w:id="168"/>
    </w:p>
    <w:p>
      <w:pPr>
        <w:pStyle w:val="10"/>
        <w:widowControl/>
        <w:wordWrap/>
        <w:adjustRightInd/>
        <w:snapToGrid/>
        <w:spacing w:before="0" w:beforeAutospacing="0" w:after="0" w:afterAutospacing="0" w:line="360" w:lineRule="auto"/>
        <w:ind w:left="0" w:right="0" w:firstLine="560" w:firstLineChars="200"/>
        <w:jc w:val="both"/>
        <w:textAlignment w:val="auto"/>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养殖户提前向嘎查村申请登记，项目落实后经嘎查村和相关部门验收合格后一次性将补贴资金发放于养殖户一卡通账户。2022年引进100头纯种安格斯种母牛和777只绒山羊种母羊，补贴标准为纯种安格斯种母牛年龄不低于12月龄，体重不低于240公斤，每头补贴5000元；一次性购置种母羊20只以上的养殖户，每只补贴1000元。截止2023年1月发放100头牛补贴资金50万元，发放777只绒山羊补贴资金77.7万元。</w:t>
      </w:r>
    </w:p>
    <w:p>
      <w:pPr>
        <w:pStyle w:val="10"/>
        <w:widowControl/>
        <w:wordWrap/>
        <w:adjustRightInd/>
        <w:snapToGrid/>
        <w:spacing w:before="0" w:beforeAutospacing="0" w:after="0" w:afterAutospacing="0" w:line="360" w:lineRule="auto"/>
        <w:ind w:left="0" w:right="0" w:firstLine="560" w:firstLineChars="200"/>
        <w:textAlignment w:val="auto"/>
        <w:rPr>
          <w:rFonts w:hint="default"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2.图克镇补贴扶持农牧民棚圈建设项目</w:t>
      </w:r>
    </w:p>
    <w:p>
      <w:pPr>
        <w:pStyle w:val="10"/>
        <w:widowControl/>
        <w:wordWrap/>
        <w:adjustRightInd/>
        <w:snapToGrid/>
        <w:spacing w:before="0" w:beforeAutospacing="0" w:after="0" w:afterAutospacing="0" w:line="360" w:lineRule="auto"/>
        <w:ind w:left="0" w:right="0" w:firstLine="560" w:firstLineChars="200"/>
        <w:jc w:val="both"/>
        <w:textAlignment w:val="auto"/>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该项目在达汉庙嘎查、黄陶勒盖嘎查、陶报嘎查等10个嘎查村实施，以户为单位，农牧户按要求先自建，竣工后由镇政府组织验收，验收合格后通过一卡通将补贴资金发放至建设户，其中储草棚补贴2.2万元，羊棚（接羔）补贴1.1万元，羊棚（育肥）补贴1万元。2022年实施146户，发放补贴资金233.8万元。</w:t>
      </w:r>
    </w:p>
    <w:p>
      <w:pPr>
        <w:pStyle w:val="10"/>
        <w:widowControl/>
        <w:wordWrap/>
        <w:adjustRightInd/>
        <w:snapToGrid/>
        <w:spacing w:before="0" w:beforeAutospacing="0" w:after="0" w:afterAutospacing="0" w:line="360" w:lineRule="auto"/>
        <w:ind w:left="0" w:right="0" w:firstLine="560" w:firstLineChars="200"/>
        <w:textAlignment w:val="auto"/>
        <w:rPr>
          <w:rFonts w:hint="default"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3.图克镇安全住房改造项目</w:t>
      </w:r>
    </w:p>
    <w:p>
      <w:pPr>
        <w:pStyle w:val="10"/>
        <w:widowControl/>
        <w:wordWrap/>
        <w:adjustRightInd/>
        <w:snapToGrid/>
        <w:spacing w:before="0" w:beforeAutospacing="0" w:after="0" w:afterAutospacing="0" w:line="360" w:lineRule="auto"/>
        <w:ind w:left="0" w:right="0" w:firstLine="560" w:firstLineChars="200"/>
        <w:textAlignment w:val="auto"/>
        <w:rPr>
          <w:rFonts w:hint="default"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2022年葫芦素村、乌兰什巴台村、陶报嘎查、达汉庙嘎查、图呼勒岱嘎查、黄陶勒盖嘎查、呼吉尔特村实施危房改造工程，该工程有农牧户自行申请，并办理宅基地审批手续，且满足一户一宅基地的基本要求，村民自行建设，经验收合格后每户给予1.5万元补助。该项目预算资金45万元，实际实施18户，2023年1月17日支付农户补贴款27万元。</w:t>
      </w:r>
    </w:p>
    <w:p>
      <w:pPr>
        <w:pStyle w:val="10"/>
        <w:widowControl/>
        <w:wordWrap/>
        <w:adjustRightInd/>
        <w:snapToGrid/>
        <w:spacing w:before="0" w:beforeAutospacing="0" w:after="0" w:afterAutospacing="0" w:line="360" w:lineRule="auto"/>
        <w:ind w:left="0" w:right="0" w:firstLine="560" w:firstLineChars="200"/>
        <w:textAlignment w:val="auto"/>
        <w:rPr>
          <w:rFonts w:hint="default"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4.图克镇旧城改造项目</w:t>
      </w:r>
    </w:p>
    <w:p>
      <w:pPr>
        <w:pStyle w:val="10"/>
        <w:widowControl w:val="0"/>
        <w:wordWrap/>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图克镇街道绿化及配套设施维修项目，维修检查井143个、维修路缘石2.3公里、维修疏通雨污水管网5.6公里、乌审旗第二人民医院房后绿化约5000㎡。投资额度40.35万元，已支付工程款394,690元，其中2022年10月付款174,310元，2023年1月付款220,380元。开工日期：2022年7月4日，竣工日期：2022年7月26日，并于2022年7月26日由镇政府和施工单位验收。</w:t>
      </w:r>
    </w:p>
    <w:p>
      <w:pPr>
        <w:pStyle w:val="10"/>
        <w:widowControl w:val="0"/>
        <w:wordWrap/>
        <w:adjustRightInd/>
        <w:snapToGrid/>
        <w:spacing w:before="0" w:beforeAutospacing="0" w:after="0" w:afterAutospacing="0" w:line="360" w:lineRule="auto"/>
        <w:ind w:left="0" w:right="0" w:firstLine="560"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图克镇市政道路灌缝补路项目，市政道路灌缝5.6公里，投资额度59.65万元，于2022年10月19日支付工程款593,690元。开工日期：2022年7月12日，竣工日期：2022年8月5日，于2022年8月5日由镇政府和施工单位验收。</w:t>
      </w:r>
    </w:p>
    <w:p>
      <w:pPr>
        <w:pStyle w:val="10"/>
        <w:widowControl/>
        <w:wordWrap/>
        <w:adjustRightInd/>
        <w:snapToGrid/>
        <w:spacing w:before="0" w:beforeAutospacing="0" w:after="0" w:afterAutospacing="0" w:line="360" w:lineRule="auto"/>
        <w:ind w:left="0" w:right="0" w:firstLine="560" w:firstLineChars="200"/>
        <w:textAlignment w:val="auto"/>
        <w:rPr>
          <w:rFonts w:hint="default"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5.</w:t>
      </w:r>
      <w:r>
        <w:rPr>
          <w:rFonts w:hint="default" w:ascii="仿宋_GB2312" w:hAnsi="仿宋_GB2312" w:eastAsia="仿宋_GB2312" w:cs="仿宋_GB2312"/>
          <w:b w:val="0"/>
          <w:bCs w:val="0"/>
          <w:sz w:val="28"/>
          <w:szCs w:val="28"/>
          <w:highlight w:val="none"/>
          <w:lang w:val="en-US" w:eastAsia="zh-CN"/>
        </w:rPr>
        <w:t>农村牧区通信试点工程项目</w:t>
      </w:r>
    </w:p>
    <w:p>
      <w:pPr>
        <w:pStyle w:val="10"/>
        <w:widowControl w:val="0"/>
        <w:wordWrap/>
        <w:adjustRightInd/>
        <w:snapToGrid/>
        <w:spacing w:before="0" w:beforeAutospacing="0" w:after="0" w:afterAutospacing="0" w:line="360" w:lineRule="auto"/>
        <w:ind w:left="0" w:right="0" w:firstLine="560" w:firstLineChars="200"/>
        <w:jc w:val="both"/>
        <w:textAlignment w:val="auto"/>
        <w:rPr>
          <w:rFonts w:hint="default" w:ascii="仿宋_GB2312" w:hAnsi="仿宋_GB2312" w:eastAsia="仿宋_GB2312" w:cs="仿宋_GB2312"/>
          <w:b w:val="0"/>
          <w:bCs w:val="0"/>
          <w:sz w:val="28"/>
          <w:szCs w:val="28"/>
          <w:highlight w:val="none"/>
          <w:lang w:val="en-US" w:eastAsia="zh-CN"/>
        </w:rPr>
      </w:pPr>
      <w:r>
        <w:rPr>
          <w:rFonts w:hint="default" w:ascii="仿宋_GB2312" w:hAnsi="仿宋_GB2312" w:eastAsia="仿宋_GB2312" w:cs="仿宋_GB2312"/>
          <w:b w:val="0"/>
          <w:bCs w:val="0"/>
          <w:sz w:val="28"/>
          <w:szCs w:val="28"/>
          <w:highlight w:val="none"/>
          <w:lang w:val="en-US" w:eastAsia="zh-CN"/>
        </w:rPr>
        <w:t>本项目为电信公司提供300M 速率的入户有线宽带，电视会员、千兆路由器、无线路由器、一台室外监控等设施设备，在提速降费总原则下，按照每户1800元标准，镇政府对每户补贴800元。</w:t>
      </w:r>
      <w:r>
        <w:rPr>
          <w:rFonts w:hint="eastAsia" w:ascii="仿宋_GB2312" w:hAnsi="仿宋_GB2312" w:eastAsia="仿宋_GB2312" w:cs="仿宋_GB2312"/>
          <w:b w:val="0"/>
          <w:bCs w:val="0"/>
          <w:sz w:val="28"/>
          <w:szCs w:val="28"/>
          <w:highlight w:val="none"/>
          <w:lang w:val="en-US" w:eastAsia="zh-CN"/>
        </w:rPr>
        <w:t>2022年度预算50万元，当年财政资金未支出，2023年1月19日补贴呼吉尔特村和葫芦素村农户166户，共计132,800元，该项目已完工验收。</w:t>
      </w:r>
    </w:p>
    <w:p>
      <w:bookmarkStart w:id="169" w:name="_GoBack"/>
      <w:bookmarkEnd w:id="169"/>
    </w:p>
    <w:sectPr>
      <w:footerReference r:id="rId6" w:type="default"/>
      <w:pgSz w:w="11906" w:h="16838"/>
      <w:pgMar w:top="1440" w:right="1800" w:bottom="1440" w:left="1800" w:header="851" w:footer="992" w:gutter="0"/>
      <w:pgBorders w:offsetFrom="page">
        <w:top w:val="none" w:color="auto" w:sz="0" w:space="0"/>
        <w:left w:val="none" w:color="auto" w:sz="0" w:space="0"/>
        <w:bottom w:val="none" w:color="auto" w:sz="0" w:space="0"/>
        <w:right w:val="none" w:color="auto"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widowControl w:val="0"/>
      <w:pBdr>
        <w:top w:val="single" w:color="auto" w:sz="4" w:space="1"/>
        <w:left w:val="none" w:color="auto" w:sz="0" w:space="4"/>
        <w:bottom w:val="none" w:color="auto" w:sz="0" w:space="1"/>
        <w:right w:val="none" w:color="auto" w:sz="0" w:space="4"/>
        <w:between w:val="none" w:color="auto" w:sz="0" w:space="0"/>
      </w:pBdr>
      <w:snapToGrid w:val="0"/>
      <w:jc w:val="left"/>
    </w:pPr>
    <w:r>
      <w:rPr>
        <w:rFonts w:hint="eastAsia"/>
      </w:rPr>
      <w:t>内蒙古星舟会计师事务所（普通合伙）</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widowControl w:val="0"/>
      <w:pBdr>
        <w:top w:val="single" w:color="auto" w:sz="4" w:space="1"/>
        <w:left w:val="none" w:color="auto" w:sz="0" w:space="4"/>
        <w:bottom w:val="none" w:color="auto" w:sz="0" w:space="1"/>
        <w:right w:val="none" w:color="auto" w:sz="0" w:space="4"/>
        <w:between w:val="none" w:color="auto" w:sz="0" w:space="0"/>
      </w:pBdr>
      <w:snapToGrid w:val="0"/>
      <w:jc w:val="left"/>
      <w:rPr>
        <w:rFonts w:hint="default"/>
        <w:lang w:val="en-US"/>
      </w:rPr>
    </w:pPr>
    <w:r>
      <w:rPr>
        <w:rFonts w:ascii="Calibri" w:hAnsi="Calibri" w:eastAsia="宋体" w:cs="Times New Roman"/>
        <w:kern w:val="2"/>
        <w:sz w:val="18"/>
        <w:szCs w:val="24"/>
        <w:lang w:val="en-US" w:eastAsia="zh-CN" w:bidi="ar-SA"/>
      </w:rPr>
      <w:pict>
        <v:rect id="文本框 2"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6"/>
                </w:pPr>
                <w:r>
                  <w:fldChar w:fldCharType="begin"/>
                </w:r>
                <w:r>
                  <w:instrText xml:space="preserve"> PAGE  \* MERGEFORMAT </w:instrText>
                </w:r>
                <w:r>
                  <w:fldChar w:fldCharType="separate"/>
                </w:r>
                <w:r>
                  <w:t>1</w:t>
                </w:r>
                <w:r>
                  <w:fldChar w:fldCharType="end"/>
                </w:r>
              </w:p>
            </w:txbxContent>
          </v:textbox>
        </v:rect>
      </w:pict>
    </w:r>
    <w:r>
      <w:rPr>
        <w:rFonts w:hint="eastAsia"/>
        <w:lang w:val="en-US" w:eastAsia="zh-CN"/>
      </w:rPr>
      <w:t>内蒙古星舟会计师事务所（普通合伙）</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Bdr>
        <w:bottom w:val="none" w:color="auto" w:sz="0" w:space="1"/>
      </w:pBdr>
      <w:spacing w:afterAutospacing="0"/>
      <w:jc w:val="both"/>
      <w:rPr>
        <w:rFonts w:hint="eastAsia"/>
        <w:i/>
        <w:iCs/>
      </w:rPr>
    </w:pPr>
    <w:r>
      <w:rPr>
        <w:rFonts w:hint="eastAsia"/>
        <w:i/>
        <w:iCs/>
        <w:u w:val="single"/>
        <w:lang w:val="en-US" w:eastAsia="zh-CN"/>
      </w:rPr>
      <w:t xml:space="preserve">                             </w:t>
    </w:r>
    <w:r>
      <w:rPr>
        <w:rFonts w:hint="eastAsia"/>
        <w:i/>
        <w:iCs/>
        <w:u w:val="single"/>
      </w:rPr>
      <w:t>2022年度</w:t>
    </w:r>
    <w:r>
      <w:rPr>
        <w:rFonts w:hint="eastAsia"/>
        <w:i/>
        <w:iCs/>
        <w:u w:val="single"/>
        <w:lang w:val="en-US" w:eastAsia="zh-CN"/>
      </w:rPr>
      <w:t>乌审旗图克镇五件</w:t>
    </w:r>
    <w:r>
      <w:rPr>
        <w:rFonts w:hint="eastAsia"/>
        <w:i/>
        <w:iCs/>
        <w:u w:val="single"/>
      </w:rPr>
      <w:t>民生实事人大代表票决制项目绩效评价报告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2MxZGNmZDA0M2FkY2IwNTliYmRlNmViYTk3NWRjZDkifQ=="/>
  </w:docVars>
  <w:rsids>
    <w:rsidRoot w:val="00000000"/>
    <w:rsid w:val="00233A4F"/>
    <w:rsid w:val="00371307"/>
    <w:rsid w:val="00B37366"/>
    <w:rsid w:val="00E24335"/>
    <w:rsid w:val="00EB32B3"/>
    <w:rsid w:val="010448E5"/>
    <w:rsid w:val="01536ECF"/>
    <w:rsid w:val="025739FF"/>
    <w:rsid w:val="025E5084"/>
    <w:rsid w:val="026F32DD"/>
    <w:rsid w:val="02AA7405"/>
    <w:rsid w:val="02D23A8B"/>
    <w:rsid w:val="02EF1E8A"/>
    <w:rsid w:val="03947371"/>
    <w:rsid w:val="046C5C2A"/>
    <w:rsid w:val="046F095C"/>
    <w:rsid w:val="048260BF"/>
    <w:rsid w:val="04DA26C6"/>
    <w:rsid w:val="05706667"/>
    <w:rsid w:val="05A131E3"/>
    <w:rsid w:val="05D67331"/>
    <w:rsid w:val="068C3E93"/>
    <w:rsid w:val="069873E3"/>
    <w:rsid w:val="06CD24E2"/>
    <w:rsid w:val="06DA4A0D"/>
    <w:rsid w:val="06FF4665"/>
    <w:rsid w:val="071D689A"/>
    <w:rsid w:val="072B0FB7"/>
    <w:rsid w:val="07584BED"/>
    <w:rsid w:val="082C764A"/>
    <w:rsid w:val="08A72B38"/>
    <w:rsid w:val="08DA73E4"/>
    <w:rsid w:val="08DC4A98"/>
    <w:rsid w:val="0917336B"/>
    <w:rsid w:val="0A0F2E11"/>
    <w:rsid w:val="0A15540C"/>
    <w:rsid w:val="0A5627EE"/>
    <w:rsid w:val="0A671F94"/>
    <w:rsid w:val="0A960E3D"/>
    <w:rsid w:val="0AD86CB1"/>
    <w:rsid w:val="0B0706CB"/>
    <w:rsid w:val="0B471443"/>
    <w:rsid w:val="0B6D5283"/>
    <w:rsid w:val="0B7A42BB"/>
    <w:rsid w:val="0B9B3C6F"/>
    <w:rsid w:val="0BD75BB1"/>
    <w:rsid w:val="0BEA5D53"/>
    <w:rsid w:val="0BF40511"/>
    <w:rsid w:val="0C177D5B"/>
    <w:rsid w:val="0C4348A2"/>
    <w:rsid w:val="0C970129"/>
    <w:rsid w:val="0CC12083"/>
    <w:rsid w:val="0CD67C16"/>
    <w:rsid w:val="0CEB53A6"/>
    <w:rsid w:val="0CF9285A"/>
    <w:rsid w:val="0D186481"/>
    <w:rsid w:val="0D2B7F62"/>
    <w:rsid w:val="0D664562"/>
    <w:rsid w:val="0D706C45"/>
    <w:rsid w:val="0D896A37"/>
    <w:rsid w:val="0E270D6F"/>
    <w:rsid w:val="0E4F5ED2"/>
    <w:rsid w:val="0E5C68B3"/>
    <w:rsid w:val="0E614954"/>
    <w:rsid w:val="0E911989"/>
    <w:rsid w:val="0E963B01"/>
    <w:rsid w:val="0E9953A0"/>
    <w:rsid w:val="0EC06B48"/>
    <w:rsid w:val="101C21D7"/>
    <w:rsid w:val="102B0279"/>
    <w:rsid w:val="102F5FF2"/>
    <w:rsid w:val="1067266B"/>
    <w:rsid w:val="107741D4"/>
    <w:rsid w:val="10EF12A7"/>
    <w:rsid w:val="10F03EEC"/>
    <w:rsid w:val="11244CFA"/>
    <w:rsid w:val="112F7808"/>
    <w:rsid w:val="117D4B05"/>
    <w:rsid w:val="11803E55"/>
    <w:rsid w:val="11B83D8F"/>
    <w:rsid w:val="11FD77E4"/>
    <w:rsid w:val="12086AC4"/>
    <w:rsid w:val="12137978"/>
    <w:rsid w:val="122F5644"/>
    <w:rsid w:val="12351E98"/>
    <w:rsid w:val="12937C8C"/>
    <w:rsid w:val="13132C80"/>
    <w:rsid w:val="136E6DFB"/>
    <w:rsid w:val="13B567D8"/>
    <w:rsid w:val="13D27907"/>
    <w:rsid w:val="13D54A41"/>
    <w:rsid w:val="13D6674E"/>
    <w:rsid w:val="13E07183"/>
    <w:rsid w:val="14805E6D"/>
    <w:rsid w:val="149D2C4F"/>
    <w:rsid w:val="14D47131"/>
    <w:rsid w:val="151237B6"/>
    <w:rsid w:val="15244E3B"/>
    <w:rsid w:val="15545B7C"/>
    <w:rsid w:val="15584704"/>
    <w:rsid w:val="15672EA0"/>
    <w:rsid w:val="15D078F9"/>
    <w:rsid w:val="16264FE5"/>
    <w:rsid w:val="167909DF"/>
    <w:rsid w:val="167A528E"/>
    <w:rsid w:val="16C1147B"/>
    <w:rsid w:val="16E605C5"/>
    <w:rsid w:val="16EA2594"/>
    <w:rsid w:val="17261D73"/>
    <w:rsid w:val="17654071"/>
    <w:rsid w:val="17B60D70"/>
    <w:rsid w:val="17B943BD"/>
    <w:rsid w:val="17C2010E"/>
    <w:rsid w:val="185D6565"/>
    <w:rsid w:val="18CE20EA"/>
    <w:rsid w:val="18F759EF"/>
    <w:rsid w:val="18F95331"/>
    <w:rsid w:val="193D1F88"/>
    <w:rsid w:val="19792055"/>
    <w:rsid w:val="19BD63E6"/>
    <w:rsid w:val="1A101FB8"/>
    <w:rsid w:val="1A3B40D6"/>
    <w:rsid w:val="1A734CF7"/>
    <w:rsid w:val="1A876ABC"/>
    <w:rsid w:val="1AC53CC5"/>
    <w:rsid w:val="1AFD2549"/>
    <w:rsid w:val="1B08283A"/>
    <w:rsid w:val="1B49431C"/>
    <w:rsid w:val="1B80591D"/>
    <w:rsid w:val="1B854CE1"/>
    <w:rsid w:val="1C015E11"/>
    <w:rsid w:val="1C330BE1"/>
    <w:rsid w:val="1C35022F"/>
    <w:rsid w:val="1CA27B15"/>
    <w:rsid w:val="1CDA72AF"/>
    <w:rsid w:val="1D4D7A81"/>
    <w:rsid w:val="1D514D9F"/>
    <w:rsid w:val="1DBA2C3C"/>
    <w:rsid w:val="1DD51824"/>
    <w:rsid w:val="1DDF299A"/>
    <w:rsid w:val="1E05035C"/>
    <w:rsid w:val="1E0810EC"/>
    <w:rsid w:val="1E322924"/>
    <w:rsid w:val="1E6D7CAF"/>
    <w:rsid w:val="1E6F3A27"/>
    <w:rsid w:val="1EC30EAF"/>
    <w:rsid w:val="1EC94CBA"/>
    <w:rsid w:val="1F501AAA"/>
    <w:rsid w:val="1FDB32ED"/>
    <w:rsid w:val="205E30AE"/>
    <w:rsid w:val="20C31E08"/>
    <w:rsid w:val="20C43B32"/>
    <w:rsid w:val="20D050BE"/>
    <w:rsid w:val="2122535A"/>
    <w:rsid w:val="217E7584"/>
    <w:rsid w:val="21FB1267"/>
    <w:rsid w:val="22637127"/>
    <w:rsid w:val="22897F7B"/>
    <w:rsid w:val="22A068A5"/>
    <w:rsid w:val="22A21C9C"/>
    <w:rsid w:val="2378337E"/>
    <w:rsid w:val="23E956E6"/>
    <w:rsid w:val="240A4F17"/>
    <w:rsid w:val="242F4753"/>
    <w:rsid w:val="24370AE6"/>
    <w:rsid w:val="243C34B0"/>
    <w:rsid w:val="24651C80"/>
    <w:rsid w:val="24F42ED8"/>
    <w:rsid w:val="250023CA"/>
    <w:rsid w:val="25164BFC"/>
    <w:rsid w:val="25270BB7"/>
    <w:rsid w:val="257007B0"/>
    <w:rsid w:val="25891872"/>
    <w:rsid w:val="25C64315"/>
    <w:rsid w:val="25D23BE2"/>
    <w:rsid w:val="2604714B"/>
    <w:rsid w:val="264B4D7A"/>
    <w:rsid w:val="26AD43FF"/>
    <w:rsid w:val="26ED755E"/>
    <w:rsid w:val="272E0923"/>
    <w:rsid w:val="273332C4"/>
    <w:rsid w:val="27514612"/>
    <w:rsid w:val="276E6F72"/>
    <w:rsid w:val="27793850"/>
    <w:rsid w:val="27931A9E"/>
    <w:rsid w:val="27B506FD"/>
    <w:rsid w:val="27B97EBF"/>
    <w:rsid w:val="284843E9"/>
    <w:rsid w:val="284D0E33"/>
    <w:rsid w:val="2868347B"/>
    <w:rsid w:val="28B208E1"/>
    <w:rsid w:val="28CD204F"/>
    <w:rsid w:val="29034D04"/>
    <w:rsid w:val="29047EBC"/>
    <w:rsid w:val="294D1F82"/>
    <w:rsid w:val="2985406B"/>
    <w:rsid w:val="29A83EEC"/>
    <w:rsid w:val="29CC4423"/>
    <w:rsid w:val="2A1462B5"/>
    <w:rsid w:val="2A4144C9"/>
    <w:rsid w:val="2A6B463B"/>
    <w:rsid w:val="2AA46A7B"/>
    <w:rsid w:val="2AA94324"/>
    <w:rsid w:val="2AAA6513"/>
    <w:rsid w:val="2ADE7F6A"/>
    <w:rsid w:val="2AFA0B7E"/>
    <w:rsid w:val="2B3109E2"/>
    <w:rsid w:val="2B3C3255"/>
    <w:rsid w:val="2B6E487D"/>
    <w:rsid w:val="2B8D5F12"/>
    <w:rsid w:val="2B9C671C"/>
    <w:rsid w:val="2BB05DAB"/>
    <w:rsid w:val="2BC204C8"/>
    <w:rsid w:val="2C2B7ED9"/>
    <w:rsid w:val="2C9114EC"/>
    <w:rsid w:val="2D300825"/>
    <w:rsid w:val="2D3D2806"/>
    <w:rsid w:val="2D874EDD"/>
    <w:rsid w:val="2D9E0E9D"/>
    <w:rsid w:val="2E8B6E4B"/>
    <w:rsid w:val="2EA77B32"/>
    <w:rsid w:val="2F107712"/>
    <w:rsid w:val="2F3F626F"/>
    <w:rsid w:val="2F447837"/>
    <w:rsid w:val="2F4F3EAE"/>
    <w:rsid w:val="2FA96B3D"/>
    <w:rsid w:val="30313232"/>
    <w:rsid w:val="304270A6"/>
    <w:rsid w:val="30514298"/>
    <w:rsid w:val="307A6E68"/>
    <w:rsid w:val="3090408B"/>
    <w:rsid w:val="309F5991"/>
    <w:rsid w:val="31184A7B"/>
    <w:rsid w:val="311A3F38"/>
    <w:rsid w:val="313D6334"/>
    <w:rsid w:val="31532D34"/>
    <w:rsid w:val="318C0244"/>
    <w:rsid w:val="318E5797"/>
    <w:rsid w:val="31D5220F"/>
    <w:rsid w:val="31E04326"/>
    <w:rsid w:val="32155665"/>
    <w:rsid w:val="321C3FF7"/>
    <w:rsid w:val="32363BE0"/>
    <w:rsid w:val="32382656"/>
    <w:rsid w:val="324F1498"/>
    <w:rsid w:val="32B4697B"/>
    <w:rsid w:val="32E37B4C"/>
    <w:rsid w:val="32F65818"/>
    <w:rsid w:val="335D7E9A"/>
    <w:rsid w:val="337D0794"/>
    <w:rsid w:val="33A04957"/>
    <w:rsid w:val="33B72294"/>
    <w:rsid w:val="33D44147"/>
    <w:rsid w:val="34970980"/>
    <w:rsid w:val="349B511E"/>
    <w:rsid w:val="34C5273B"/>
    <w:rsid w:val="34CF24FB"/>
    <w:rsid w:val="34F30AB6"/>
    <w:rsid w:val="34FF4321"/>
    <w:rsid w:val="351573BC"/>
    <w:rsid w:val="35525772"/>
    <w:rsid w:val="356653D8"/>
    <w:rsid w:val="356C0464"/>
    <w:rsid w:val="35936138"/>
    <w:rsid w:val="35F46B53"/>
    <w:rsid w:val="35FF0B2E"/>
    <w:rsid w:val="36187D6F"/>
    <w:rsid w:val="36274EBB"/>
    <w:rsid w:val="36910096"/>
    <w:rsid w:val="36C872FA"/>
    <w:rsid w:val="37225683"/>
    <w:rsid w:val="375B2943"/>
    <w:rsid w:val="377D6D5D"/>
    <w:rsid w:val="37CC5893"/>
    <w:rsid w:val="37CE1367"/>
    <w:rsid w:val="37DF30FF"/>
    <w:rsid w:val="37FA0E99"/>
    <w:rsid w:val="3810372D"/>
    <w:rsid w:val="384A11A1"/>
    <w:rsid w:val="38833AFE"/>
    <w:rsid w:val="39553AED"/>
    <w:rsid w:val="395629A8"/>
    <w:rsid w:val="39AC1B82"/>
    <w:rsid w:val="39BA4298"/>
    <w:rsid w:val="39BD1693"/>
    <w:rsid w:val="39DC5310"/>
    <w:rsid w:val="3A010045"/>
    <w:rsid w:val="3A8013C4"/>
    <w:rsid w:val="3AB335DE"/>
    <w:rsid w:val="3AE36337"/>
    <w:rsid w:val="3AEA4709"/>
    <w:rsid w:val="3B33610C"/>
    <w:rsid w:val="3B3A4FD5"/>
    <w:rsid w:val="3B750F8B"/>
    <w:rsid w:val="3B7D557D"/>
    <w:rsid w:val="3C3E2E4B"/>
    <w:rsid w:val="3C5119D3"/>
    <w:rsid w:val="3CB80047"/>
    <w:rsid w:val="3D102ED4"/>
    <w:rsid w:val="3D181988"/>
    <w:rsid w:val="3E8926E5"/>
    <w:rsid w:val="3E8F0CB7"/>
    <w:rsid w:val="3E990920"/>
    <w:rsid w:val="3E9C5066"/>
    <w:rsid w:val="3EAF565D"/>
    <w:rsid w:val="3EE651E8"/>
    <w:rsid w:val="3EE8508C"/>
    <w:rsid w:val="3F254B77"/>
    <w:rsid w:val="3F76656C"/>
    <w:rsid w:val="3FAF0018"/>
    <w:rsid w:val="401515FD"/>
    <w:rsid w:val="4027498D"/>
    <w:rsid w:val="40597ACC"/>
    <w:rsid w:val="40707CC2"/>
    <w:rsid w:val="40934C22"/>
    <w:rsid w:val="411A40CF"/>
    <w:rsid w:val="41581D3B"/>
    <w:rsid w:val="41AD0100"/>
    <w:rsid w:val="41AE2D55"/>
    <w:rsid w:val="420C31B7"/>
    <w:rsid w:val="421166B1"/>
    <w:rsid w:val="421A58D4"/>
    <w:rsid w:val="426625F7"/>
    <w:rsid w:val="42915CB0"/>
    <w:rsid w:val="42BC4BDD"/>
    <w:rsid w:val="42CA554C"/>
    <w:rsid w:val="42D36040"/>
    <w:rsid w:val="42E51853"/>
    <w:rsid w:val="42FC1DDF"/>
    <w:rsid w:val="430420E0"/>
    <w:rsid w:val="430A1DED"/>
    <w:rsid w:val="430B60A7"/>
    <w:rsid w:val="4318395D"/>
    <w:rsid w:val="435A32D3"/>
    <w:rsid w:val="435E6F8B"/>
    <w:rsid w:val="43AD49E6"/>
    <w:rsid w:val="43B53A55"/>
    <w:rsid w:val="43FB34E3"/>
    <w:rsid w:val="44371A52"/>
    <w:rsid w:val="44632C0C"/>
    <w:rsid w:val="44862374"/>
    <w:rsid w:val="44A27907"/>
    <w:rsid w:val="453A1FFD"/>
    <w:rsid w:val="457453DA"/>
    <w:rsid w:val="45C142B9"/>
    <w:rsid w:val="45D251D8"/>
    <w:rsid w:val="45D43D78"/>
    <w:rsid w:val="46AE0CE1"/>
    <w:rsid w:val="46D1677D"/>
    <w:rsid w:val="477F51F1"/>
    <w:rsid w:val="481C1C7A"/>
    <w:rsid w:val="4860600B"/>
    <w:rsid w:val="488B752C"/>
    <w:rsid w:val="48A51C70"/>
    <w:rsid w:val="48D3748B"/>
    <w:rsid w:val="4903337D"/>
    <w:rsid w:val="49470F79"/>
    <w:rsid w:val="49624AA9"/>
    <w:rsid w:val="49AF724A"/>
    <w:rsid w:val="49D22F38"/>
    <w:rsid w:val="49FF3A8D"/>
    <w:rsid w:val="4AF54FAE"/>
    <w:rsid w:val="4B0A29A6"/>
    <w:rsid w:val="4B777D1B"/>
    <w:rsid w:val="4BC82402"/>
    <w:rsid w:val="4C041D2D"/>
    <w:rsid w:val="4C3A59AB"/>
    <w:rsid w:val="4C5B7215"/>
    <w:rsid w:val="4C972C2F"/>
    <w:rsid w:val="4CB83E2C"/>
    <w:rsid w:val="4CE644AA"/>
    <w:rsid w:val="4D101E60"/>
    <w:rsid w:val="4D297313"/>
    <w:rsid w:val="4E33358C"/>
    <w:rsid w:val="4E392C8F"/>
    <w:rsid w:val="4E487C6D"/>
    <w:rsid w:val="4E5263F6"/>
    <w:rsid w:val="4F0943B9"/>
    <w:rsid w:val="4F16307D"/>
    <w:rsid w:val="4F5410B7"/>
    <w:rsid w:val="4FA07362"/>
    <w:rsid w:val="50195A97"/>
    <w:rsid w:val="502A3DCA"/>
    <w:rsid w:val="50360431"/>
    <w:rsid w:val="50401E81"/>
    <w:rsid w:val="50635C1F"/>
    <w:rsid w:val="506765BF"/>
    <w:rsid w:val="5076676F"/>
    <w:rsid w:val="509A317A"/>
    <w:rsid w:val="50B20C93"/>
    <w:rsid w:val="514364CA"/>
    <w:rsid w:val="51494DD6"/>
    <w:rsid w:val="51527FEC"/>
    <w:rsid w:val="51597A9B"/>
    <w:rsid w:val="515D57DD"/>
    <w:rsid w:val="51615C1A"/>
    <w:rsid w:val="517F72CD"/>
    <w:rsid w:val="522E2CD6"/>
    <w:rsid w:val="52341F69"/>
    <w:rsid w:val="52727066"/>
    <w:rsid w:val="527A5F1B"/>
    <w:rsid w:val="531A22E7"/>
    <w:rsid w:val="537E1AF7"/>
    <w:rsid w:val="53832F0B"/>
    <w:rsid w:val="53E555F9"/>
    <w:rsid w:val="54284B61"/>
    <w:rsid w:val="54B75204"/>
    <w:rsid w:val="54CB0CB0"/>
    <w:rsid w:val="54D97E62"/>
    <w:rsid w:val="54EB1352"/>
    <w:rsid w:val="54EF2BF0"/>
    <w:rsid w:val="55200FFC"/>
    <w:rsid w:val="554051FA"/>
    <w:rsid w:val="557C2B86"/>
    <w:rsid w:val="55AD439F"/>
    <w:rsid w:val="55C63FB0"/>
    <w:rsid w:val="55DE61F2"/>
    <w:rsid w:val="56343E9A"/>
    <w:rsid w:val="566118CC"/>
    <w:rsid w:val="56665336"/>
    <w:rsid w:val="569021B1"/>
    <w:rsid w:val="56CD6F61"/>
    <w:rsid w:val="56D0674C"/>
    <w:rsid w:val="57664CC0"/>
    <w:rsid w:val="577028D8"/>
    <w:rsid w:val="57F4051E"/>
    <w:rsid w:val="581B3CFC"/>
    <w:rsid w:val="58395046"/>
    <w:rsid w:val="584414A5"/>
    <w:rsid w:val="585175C5"/>
    <w:rsid w:val="58680309"/>
    <w:rsid w:val="589E39E1"/>
    <w:rsid w:val="58B84316"/>
    <w:rsid w:val="58E57BB0"/>
    <w:rsid w:val="59002D7E"/>
    <w:rsid w:val="5935645A"/>
    <w:rsid w:val="595474C6"/>
    <w:rsid w:val="59A00552"/>
    <w:rsid w:val="59C4146C"/>
    <w:rsid w:val="59EE5F00"/>
    <w:rsid w:val="5A0C7DA1"/>
    <w:rsid w:val="5A2D257D"/>
    <w:rsid w:val="5A4E286A"/>
    <w:rsid w:val="5A5530DC"/>
    <w:rsid w:val="5B1333EE"/>
    <w:rsid w:val="5B1C0B9A"/>
    <w:rsid w:val="5B3F54BB"/>
    <w:rsid w:val="5B77068B"/>
    <w:rsid w:val="5B92254D"/>
    <w:rsid w:val="5BB6171E"/>
    <w:rsid w:val="5C927586"/>
    <w:rsid w:val="5C936557"/>
    <w:rsid w:val="5C9F6CAA"/>
    <w:rsid w:val="5CBB5B0C"/>
    <w:rsid w:val="5CE84AF5"/>
    <w:rsid w:val="5DA4141B"/>
    <w:rsid w:val="5DC27E76"/>
    <w:rsid w:val="5DCB0785"/>
    <w:rsid w:val="5DCB54F2"/>
    <w:rsid w:val="5DF70D68"/>
    <w:rsid w:val="5E4C10B3"/>
    <w:rsid w:val="5E7D74BF"/>
    <w:rsid w:val="5E9B16F3"/>
    <w:rsid w:val="5ED772C8"/>
    <w:rsid w:val="5EEB624D"/>
    <w:rsid w:val="5F103E8F"/>
    <w:rsid w:val="5F180F96"/>
    <w:rsid w:val="5F2D4656"/>
    <w:rsid w:val="5F3E2C00"/>
    <w:rsid w:val="5F7E031C"/>
    <w:rsid w:val="5F950838"/>
    <w:rsid w:val="5FCD3B2E"/>
    <w:rsid w:val="5FE3356B"/>
    <w:rsid w:val="600523D3"/>
    <w:rsid w:val="6040276C"/>
    <w:rsid w:val="60583D40"/>
    <w:rsid w:val="6094289E"/>
    <w:rsid w:val="60D73B86"/>
    <w:rsid w:val="60EB7F9D"/>
    <w:rsid w:val="613A3445"/>
    <w:rsid w:val="6161257D"/>
    <w:rsid w:val="618A0ACD"/>
    <w:rsid w:val="618B3CD0"/>
    <w:rsid w:val="619F14FA"/>
    <w:rsid w:val="61A35CAA"/>
    <w:rsid w:val="620C23EC"/>
    <w:rsid w:val="6220263B"/>
    <w:rsid w:val="622163B3"/>
    <w:rsid w:val="62455DDD"/>
    <w:rsid w:val="624D499C"/>
    <w:rsid w:val="62703343"/>
    <w:rsid w:val="62946B85"/>
    <w:rsid w:val="62AE5E99"/>
    <w:rsid w:val="62DB7576"/>
    <w:rsid w:val="63343EC4"/>
    <w:rsid w:val="635A771C"/>
    <w:rsid w:val="637117AE"/>
    <w:rsid w:val="6379017B"/>
    <w:rsid w:val="639114B0"/>
    <w:rsid w:val="63C02316"/>
    <w:rsid w:val="63EB4ECB"/>
    <w:rsid w:val="643C3DFF"/>
    <w:rsid w:val="64504D2E"/>
    <w:rsid w:val="64AC20E7"/>
    <w:rsid w:val="64AD1CEC"/>
    <w:rsid w:val="64B66E59"/>
    <w:rsid w:val="64F22562"/>
    <w:rsid w:val="65347D08"/>
    <w:rsid w:val="657333CA"/>
    <w:rsid w:val="65A5639C"/>
    <w:rsid w:val="65D42404"/>
    <w:rsid w:val="660051BA"/>
    <w:rsid w:val="66646BEB"/>
    <w:rsid w:val="668C0EA7"/>
    <w:rsid w:val="66C06FFA"/>
    <w:rsid w:val="66C832A1"/>
    <w:rsid w:val="66E56677"/>
    <w:rsid w:val="67670D0C"/>
    <w:rsid w:val="678F1F66"/>
    <w:rsid w:val="67982FB2"/>
    <w:rsid w:val="67E8230A"/>
    <w:rsid w:val="68157258"/>
    <w:rsid w:val="68224AD1"/>
    <w:rsid w:val="68342FB3"/>
    <w:rsid w:val="683747AE"/>
    <w:rsid w:val="689E075E"/>
    <w:rsid w:val="68AF296B"/>
    <w:rsid w:val="68D47729"/>
    <w:rsid w:val="69205616"/>
    <w:rsid w:val="69287617"/>
    <w:rsid w:val="697B0A9F"/>
    <w:rsid w:val="699D68A5"/>
    <w:rsid w:val="69C5792F"/>
    <w:rsid w:val="69CF3DD6"/>
    <w:rsid w:val="69F00E5C"/>
    <w:rsid w:val="6A372C18"/>
    <w:rsid w:val="6A4F12CD"/>
    <w:rsid w:val="6A5F3F1C"/>
    <w:rsid w:val="6A72034D"/>
    <w:rsid w:val="6A8A4C1B"/>
    <w:rsid w:val="6AF724BD"/>
    <w:rsid w:val="6B37699B"/>
    <w:rsid w:val="6B417344"/>
    <w:rsid w:val="6B4550C8"/>
    <w:rsid w:val="6B582B0E"/>
    <w:rsid w:val="6B7E6624"/>
    <w:rsid w:val="6B9C06ED"/>
    <w:rsid w:val="6BD80EE5"/>
    <w:rsid w:val="6C2C6080"/>
    <w:rsid w:val="6D765805"/>
    <w:rsid w:val="6D91687F"/>
    <w:rsid w:val="6D94212F"/>
    <w:rsid w:val="6DC24EEE"/>
    <w:rsid w:val="6E4C6094"/>
    <w:rsid w:val="6E6301AB"/>
    <w:rsid w:val="6E631D8F"/>
    <w:rsid w:val="6E7D2BC3"/>
    <w:rsid w:val="6EF015E7"/>
    <w:rsid w:val="6F657A9F"/>
    <w:rsid w:val="6F793947"/>
    <w:rsid w:val="6F800BBD"/>
    <w:rsid w:val="6FD5657E"/>
    <w:rsid w:val="6FDE1E67"/>
    <w:rsid w:val="6FE32EFA"/>
    <w:rsid w:val="6FF11ABB"/>
    <w:rsid w:val="70383246"/>
    <w:rsid w:val="70B22023"/>
    <w:rsid w:val="70BC0958"/>
    <w:rsid w:val="710650F2"/>
    <w:rsid w:val="712627BF"/>
    <w:rsid w:val="71744751"/>
    <w:rsid w:val="717464FF"/>
    <w:rsid w:val="72C2329A"/>
    <w:rsid w:val="72F247EE"/>
    <w:rsid w:val="732B0E40"/>
    <w:rsid w:val="73571FD5"/>
    <w:rsid w:val="736D3206"/>
    <w:rsid w:val="737F2F3A"/>
    <w:rsid w:val="73DA3A6B"/>
    <w:rsid w:val="73EE4646"/>
    <w:rsid w:val="74044652"/>
    <w:rsid w:val="74052EA3"/>
    <w:rsid w:val="741A79D0"/>
    <w:rsid w:val="74404EEC"/>
    <w:rsid w:val="74545870"/>
    <w:rsid w:val="74C23A26"/>
    <w:rsid w:val="74C34C7C"/>
    <w:rsid w:val="752738BD"/>
    <w:rsid w:val="758646C2"/>
    <w:rsid w:val="75D03F20"/>
    <w:rsid w:val="76127132"/>
    <w:rsid w:val="765B39FF"/>
    <w:rsid w:val="76DD68F5"/>
    <w:rsid w:val="771E3A62"/>
    <w:rsid w:val="7746003F"/>
    <w:rsid w:val="774D4AD7"/>
    <w:rsid w:val="777234E1"/>
    <w:rsid w:val="77A76B00"/>
    <w:rsid w:val="77FC4E60"/>
    <w:rsid w:val="784F55D0"/>
    <w:rsid w:val="78643617"/>
    <w:rsid w:val="788A03B6"/>
    <w:rsid w:val="789456D9"/>
    <w:rsid w:val="789B0816"/>
    <w:rsid w:val="78C338C8"/>
    <w:rsid w:val="790939D1"/>
    <w:rsid w:val="792B62DE"/>
    <w:rsid w:val="793628EE"/>
    <w:rsid w:val="79373DDC"/>
    <w:rsid w:val="794C096C"/>
    <w:rsid w:val="79CD24AA"/>
    <w:rsid w:val="79D93F3F"/>
    <w:rsid w:val="79FC52E4"/>
    <w:rsid w:val="7A0128FA"/>
    <w:rsid w:val="7A263B8E"/>
    <w:rsid w:val="7A301431"/>
    <w:rsid w:val="7A9726FE"/>
    <w:rsid w:val="7AA215C7"/>
    <w:rsid w:val="7AC85E24"/>
    <w:rsid w:val="7B5B202B"/>
    <w:rsid w:val="7BB40E7D"/>
    <w:rsid w:val="7C105077"/>
    <w:rsid w:val="7C1C4D7B"/>
    <w:rsid w:val="7C460A98"/>
    <w:rsid w:val="7C885555"/>
    <w:rsid w:val="7D152359"/>
    <w:rsid w:val="7D202E76"/>
    <w:rsid w:val="7D796C4C"/>
    <w:rsid w:val="7D9F4904"/>
    <w:rsid w:val="7E10135E"/>
    <w:rsid w:val="7E2E7CDF"/>
    <w:rsid w:val="7E4116E9"/>
    <w:rsid w:val="7E9A75B5"/>
    <w:rsid w:val="7ED00AED"/>
    <w:rsid w:val="7EDC40D5"/>
    <w:rsid w:val="7EE60D98"/>
    <w:rsid w:val="7EFA4C0F"/>
    <w:rsid w:val="7F1D4873"/>
    <w:rsid w:val="7F3472CE"/>
    <w:rsid w:val="7F4321BE"/>
    <w:rsid w:val="7F554D52"/>
    <w:rsid w:val="7F750A95"/>
    <w:rsid w:val="7F8A4E1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4">
    <w:name w:val="Normal Table"/>
    <w:semiHidden/>
    <w:qFormat/>
    <w:uiPriority w:val="0"/>
    <w:tblPr>
      <w:tblStyle w:val="14"/>
      <w:tblLayout w:type="fixed"/>
      <w:tblCellMar>
        <w:top w:w="0" w:type="dxa"/>
        <w:left w:w="108" w:type="dxa"/>
        <w:bottom w:w="0" w:type="dxa"/>
        <w:right w:w="108" w:type="dxa"/>
      </w:tblCellMar>
    </w:tblPr>
  </w:style>
  <w:style w:type="paragraph" w:styleId="2">
    <w:name w:val="Body Text"/>
    <w:basedOn w:val="1"/>
    <w:next w:val="1"/>
    <w:qFormat/>
    <w:uiPriority w:val="0"/>
    <w:rPr>
      <w:sz w:val="32"/>
      <w:szCs w:val="32"/>
    </w:rPr>
  </w:style>
  <w:style w:type="paragraph" w:styleId="3">
    <w:name w:val="index 8"/>
    <w:basedOn w:val="1"/>
    <w:next w:val="1"/>
    <w:qFormat/>
    <w:uiPriority w:val="0"/>
    <w:pPr>
      <w:widowControl w:val="0"/>
      <w:autoSpaceDE w:val="0"/>
      <w:autoSpaceDN w:val="0"/>
      <w:ind w:left="1400" w:leftChars="1400"/>
      <w:jc w:val="left"/>
    </w:pPr>
    <w:rPr>
      <w:rFonts w:hint="eastAsia" w:ascii="仿宋_GB2312" w:eastAsia="仿宋_GB2312" w:cs="仿宋_GB2312"/>
      <w:kern w:val="0"/>
      <w:sz w:val="22"/>
      <w:szCs w:val="22"/>
      <w:lang w:val="en-US" w:eastAsia="zh-CN"/>
    </w:rPr>
  </w:style>
  <w:style w:type="paragraph" w:styleId="4">
    <w:name w:val="Normal Indent"/>
    <w:basedOn w:val="1"/>
    <w:unhideWhenUsed/>
    <w:qFormat/>
    <w:uiPriority w:val="0"/>
    <w:pPr>
      <w:ind w:firstLine="420" w:firstLineChars="200"/>
    </w:pPr>
  </w:style>
  <w:style w:type="paragraph" w:styleId="5">
    <w:name w:val="toc 3"/>
    <w:basedOn w:val="1"/>
    <w:next w:val="1"/>
    <w:qFormat/>
    <w:uiPriority w:val="0"/>
    <w:pPr>
      <w:ind w:left="840" w:leftChars="400"/>
    </w:p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spacing w:before="100" w:beforeAutospacing="1" w:after="100" w:afterAutospacing="1"/>
      <w:ind w:left="0" w:right="0"/>
      <w:jc w:val="left"/>
    </w:pPr>
    <w:rPr>
      <w:kern w:val="0"/>
      <w:sz w:val="24"/>
      <w:lang w:val="en-US" w:eastAsia="zh-CN"/>
    </w:rPr>
  </w:style>
  <w:style w:type="character" w:styleId="12">
    <w:name w:val="page number"/>
    <w:basedOn w:val="11"/>
    <w:qFormat/>
    <w:uiPriority w:val="0"/>
    <w:rPr/>
  </w:style>
  <w:style w:type="character" w:styleId="13">
    <w:name w:val="Hyperlink"/>
    <w:basedOn w:val="11"/>
    <w:qFormat/>
    <w:uiPriority w:val="0"/>
    <w:rPr>
      <w:color w:val="0000FF"/>
      <w:u w:val="single"/>
    </w:rPr>
  </w:style>
  <w:style w:type="paragraph" w:customStyle="1" w:styleId="15">
    <w:name w:val="Body Text First Indent 2"/>
    <w:basedOn w:val="16"/>
    <w:qFormat/>
    <w:uiPriority w:val="0"/>
    <w:pPr>
      <w:ind w:firstLine="420" w:firstLineChars="200"/>
    </w:pPr>
  </w:style>
  <w:style w:type="paragraph" w:customStyle="1" w:styleId="16">
    <w:name w:val="Body Text Indent"/>
    <w:basedOn w:val="1"/>
    <w:qFormat/>
    <w:uiPriority w:val="0"/>
    <w:pPr>
      <w:spacing w:after="120" w:afterLines="0"/>
      <w:ind w:left="420" w:leftChars="200"/>
    </w:p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 w:type="paragraph" w:customStyle="1" w:styleId="19">
    <w:name w:val="WPSOffice手动目录 3"/>
    <w:qFormat/>
    <w:uiPriority w:val="0"/>
    <w:pPr>
      <w:ind w:leftChars="400"/>
    </w:pPr>
    <w:rPr>
      <w:rFonts w:ascii="Times New Roman" w:hAnsi="Times New Roman" w:eastAsia="宋体" w:cs="Times New Roman"/>
      <w:sz w:val="20"/>
      <w:szCs w:val="20"/>
    </w:rPr>
  </w:style>
  <w:style w:type="table" w:customStyle="1" w:styleId="20">
    <w:name w:val="Table Normal"/>
    <w:unhideWhenUsed/>
    <w:qFormat/>
    <w:uiPriority w:val="0"/>
    <w:tblPr>
      <w:tblStyle w:val="14"/>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11684</Words>
  <Characters>12556</Characters>
  <Lines>0</Lines>
  <Paragraphs>0</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2023-03-11T10:21:00Z</dcterms:created>
  <dc:creator>Administrator</dc:creator>
  <cp:lastModifiedBy>LENOVO</cp:lastModifiedBy>
  <cp:lastPrinted>2023-03-29T01:10:00Z</cp:lastPrinted>
  <dcterms:modified xsi:type="dcterms:W3CDTF">2024-01-12T02:26:03Z</dcterms:modified>
  <dc:title>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E9C0097275E7413887D776737B5159BA_13</vt:lpwstr>
  </property>
</Properties>
</file>