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乌审旗2023年经济运行情况</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是全面贯彻落实党的二十大精神的开局之年，也是我旗实施“十四五”规划、冲刺全国百强县的发力之年，全旗上下坚持以习近平新时代中国特色社会主义思想为指导，认真学习贯彻党的二十大精神，接续奋斗、砥砺前行，主要经济指标总量再上新台阶，发展质效跃升，坚持“稳中求进”，完成投资倍增等目标任务，谱写绿色乌审高质量发展新篇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根据地区生产总值统一核算结果，2023年全旗实现地区生产总值501.49亿元，按不变价格计算，同比增长3.7%。分产业看，第一产业实现增加值25.58亿元，同比增长5.0%；第二产业实现增加值379.60亿元，同比增长1.7%；第三产业实现增加值96.31亿元，同比增长9.1%。三次产业比重为5.1:75.7:19.2。</w:t>
      </w:r>
    </w:p>
    <w:p>
      <w:pPr>
        <w:numPr>
          <w:ilvl w:val="0"/>
          <w:numId w:val="1"/>
        </w:numPr>
        <w:tabs>
          <w:tab w:val="left" w:pos="3316"/>
        </w:tabs>
        <w:bidi w:val="0"/>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固定投资高位增长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全旗固定资产投资133.18亿元，同比增长64.5%，增速排名全市第一，高于全国61.5个百分点，高于全区44.7个百分点，高于全市37.1个百分点。分产业看，一产投资增长88.2％；二产投资增长127.1%；三产投资下降50%。分领域看，基础设施投资下降50.5%；制造业投资增长2149.9%；房地产开发投资下降25.9%。分其他指标看，民间投资增长624.5%；社会领域投资下降44.2%，工业投资增长127.1%，其中工业技改下降89.8%。</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截止12月底，全旗在库投资项目138项（包含今年新入库54项）。其中：5000万以上投资项目49项，500万-5000万投资项目54项，房地产开发投资项目35项。亿元以上施工项目19个，数量同比下降32.1%，完成投资同比增长99.8%，占全部投资的90.4%。10亿元以上施工项目4个，数量同比增速33.3%，完成投资同比增长198.3%，占全部投资的87.42%。市级调度的29个重点项目中已入库21项，完成投资120亿元（含天然气26.17亿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1-12月份全旗商品房销售面积137763平方米，增长16.1%；商品房销售额49775万元，增长4.8%。</w:t>
      </w:r>
    </w:p>
    <w:p>
      <w:pPr>
        <w:numPr>
          <w:ilvl w:val="0"/>
          <w:numId w:val="1"/>
        </w:numPr>
        <w:tabs>
          <w:tab w:val="left" w:pos="3316"/>
        </w:tabs>
        <w:bidi w:val="0"/>
        <w:ind w:left="0" w:leftChars="0" w:firstLine="0" w:firstLineChars="0"/>
        <w:jc w:val="both"/>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工业生产承压向稳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-12月份，全旗规上工业增加值同比增长0.4%，全旗规上工业总产值同比下降12.86%。全旗规上工业企业（不含天然气）按行业类别分：煤炭开采和洗选业产值同比下降21.4%；石油、煤炭及其他燃料加工业产值同比下降2.2%；化学原料和化学制品制造业产值同比下降3.2%；电力、热力生产和供应业产值同比下降26.5%；燃气生产和供应业产值同比下降34.0%。按轻重工业分：轻工业产值同比下降18.59%；重工业产值同比下降11.09%。按注册类型分：国有控股企业产值同比下降7.92%；非公有企业产值同比下降32.62%；股份制企业产值同比下降11.46%；外商及港澳台商投资企业产值同比下降2.27%。</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28"/>
          <w:szCs w:val="28"/>
          <w:lang w:val="en-US" w:eastAsia="zh-CN"/>
        </w:rPr>
        <w:t>1-12月份主要工业品产量：原煤3889.28万吨，同比下降7.47％；精甲醇631.92万吨，同比下降10.03％；液化天然气87.66万吨，同比下降1.53％；尿素312.41万吨，同比增长9.24％；聚乙烯104.49万吨，同比下降1.25％；聚丙烯106.97万吨，同比下降4.38％；发电量26.91亿千瓦时，同比下降7.46％。</w:t>
      </w:r>
    </w:p>
    <w:p>
      <w:pPr>
        <w:numPr>
          <w:ilvl w:val="0"/>
          <w:numId w:val="1"/>
        </w:numPr>
        <w:tabs>
          <w:tab w:val="left" w:pos="3316"/>
        </w:tabs>
        <w:bidi w:val="0"/>
        <w:ind w:left="0" w:leftChars="0" w:firstLine="0" w:firstLineChars="0"/>
        <w:jc w:val="both"/>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服务发展持续恢复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-11月，全旗规模以上服务业实现营业收入6.54亿元，同比下降11.38%。分行业门类看，在库4个行业门类呈“一升三降”，“一升”是：水利、环境和公共设施管理业实业营业收入0.48亿元，同比增长108.7%。“三降”是：交通运输、仓储和邮政业实现营业收入2.59亿元,同比下降22.92%；租赁和商务服务业实现营业收入3.39亿元，同比下降7.38%;居民服务、修理和其他服务业实现营业收入0.08亿元，同比下降38.46%。</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1-11月份，规模以上服务业民营企业达13户，占规模以上服务业企业总户数的72.22%，实现营业收入3.36亿元，同比下降9.92%，占规模以上服务业营业收入的比重为51.38%。</w:t>
      </w:r>
    </w:p>
    <w:p>
      <w:pPr>
        <w:widowControl w:val="0"/>
        <w:numPr>
          <w:ilvl w:val="0"/>
          <w:numId w:val="1"/>
        </w:numPr>
        <w:tabs>
          <w:tab w:val="left" w:pos="3316"/>
        </w:tabs>
        <w:bidi w:val="0"/>
        <w:ind w:left="0" w:leftChars="0" w:firstLine="0" w:firstLineChars="0"/>
        <w:jc w:val="both"/>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消费需求不断释放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2023年，全旗社会消费品零售总额完成38.3亿元，总量排名全市第6位，同比增长8.2%，增速排名全市第9位，高于全国1个百分点，高于自治区0.1个百分点，低于全市0.9个百分点。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按销售单位所在地分，城镇消费品零售额完成27.7亿元，增长7.8%；乡村消费品零售额完成10.6亿元，增长9.4%。按消费形态分，商品零售32.7亿元，增长6.5%；餐饮收入5.6亿元，增长19.2%。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从限上消费品零售额按商品类型看，粮油食品类增长96.8%，占比34.2%；家用电器和音像器材类增长30.4%，占比8.7%；中西药品类增长3.0%，占比5.6%；通讯器材类增长12.2%，占比1.8%；石油及制品类增长27.3%，占比2.2%；汽车类下降增长2.8%，占比44.8%；其他类下降18.3%，占比2.7%。</w:t>
      </w:r>
    </w:p>
    <w:p>
      <w:pPr>
        <w:widowControl w:val="0"/>
        <w:numPr>
          <w:ilvl w:val="0"/>
          <w:numId w:val="1"/>
        </w:numPr>
        <w:tabs>
          <w:tab w:val="left" w:pos="3316"/>
        </w:tabs>
        <w:bidi w:val="0"/>
        <w:ind w:left="0" w:leftChars="0" w:firstLine="0" w:firstLineChars="0"/>
        <w:jc w:val="both"/>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财政运行整体平稳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2023年，全旗完成一般公共预算收入50.9亿元，同比增长18.4%。其中，税收收入完成34.2亿元，占一般公共预算收入的67.2%。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2023年，全旗一般公共预算支出77.9亿元，同比增长22.5%。涉及民生利益的社会保障和就业支出5.9亿元，同比增长10.9%；卫生健康支出4.5亿元，同比增长61.5%；农林水事务支出15.6亿元，同比增长50.5%。</w:t>
      </w:r>
    </w:p>
    <w:p>
      <w:pPr>
        <w:widowControl w:val="0"/>
        <w:numPr>
          <w:ilvl w:val="0"/>
          <w:numId w:val="1"/>
        </w:numPr>
        <w:tabs>
          <w:tab w:val="left" w:pos="3316"/>
        </w:tabs>
        <w:bidi w:val="0"/>
        <w:ind w:left="0" w:leftChars="0" w:firstLine="0" w:firstLineChars="0"/>
        <w:jc w:val="both"/>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城乡居民收支稳定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全旗全体居民人均可支配收入达43794元，同比增加2205元，增长5.3%。其中：城镇常住居民人均可支配收入达55917元，同比增加2612元，增长4.9%；农村牧区常住居民人均可支配收入达27419元，同比增加1818元，增长7.1%。</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全旗全体居民人均消费性支出达28971元，同比增加5664元，增长24.3%。其中：城镇常住居民人均消费性支出达32026元，同比增加5624元，增长21.3%；农村牧区常住居民人均消费性支出达24065元，同比增加4844元，增长25.2%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p>
    <w:p>
      <w:pPr>
        <w:widowControl w:val="0"/>
        <w:numPr>
          <w:ilvl w:val="0"/>
          <w:numId w:val="0"/>
        </w:numPr>
        <w:tabs>
          <w:tab w:val="left" w:pos="3316"/>
        </w:tabs>
        <w:bidi w:val="0"/>
        <w:ind w:leftChars="0"/>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总的来看，全旗经济潜力大、活力足，回升向好态势不断巩固，但仍有部分产业怠速行驶，下一步要坚持以习近平新时代中国特色社会主义思想为指导，深入落实习近平总书记对内蒙古的重要指示精神，紧紧围绕自治区、市部署要求和旗委十六届十次全会暨全旗经济工作会议确定的目标任务，坚持稳中求进工作总基调，锚定战略性新兴产业奋力攻坚，持续开辟未来产业新赛道，加快传统产业转型升级，不断书写中国式现代化绿色乌审高质量发展新篇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 w:hAnsi="仿宋" w:eastAsia="仿宋" w:cs="仿宋"/>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EC000"/>
    <w:multiLevelType w:val="singleLevel"/>
    <w:tmpl w:val="9A5EC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ODI1YTViN2M1MzczNmJiZWFlZmE2OWQxZDkwNmMifQ=="/>
  </w:docVars>
  <w:rsids>
    <w:rsidRoot w:val="0B615522"/>
    <w:rsid w:val="06C226A4"/>
    <w:rsid w:val="09A05381"/>
    <w:rsid w:val="0B615522"/>
    <w:rsid w:val="126F08F1"/>
    <w:rsid w:val="1DF65E6A"/>
    <w:rsid w:val="299A44DD"/>
    <w:rsid w:val="2CD77367"/>
    <w:rsid w:val="4DBE5CAD"/>
    <w:rsid w:val="50371D47"/>
    <w:rsid w:val="5E624B63"/>
    <w:rsid w:val="60BD3BA3"/>
    <w:rsid w:val="76CF5F86"/>
    <w:rsid w:val="7D4A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2024-01-23T08:17:00Z</dcterms:created>
  <dc:creator>今天也很甜</dc:creator>
  <cp:lastModifiedBy>今天也很甜</cp:lastModifiedBy>
  <dcterms:modified xsi:type="dcterms:W3CDTF">2024-01-25T01:47:40Z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502296A2DEB146A1BB20001DA2F43340_11</vt:lpwstr>
  </property>
</Properties>
</file>