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hAnsi="方正小标宋_GBK" w:eastAsia="方正小标宋_GBK"/>
          <w:b w:val="0"/>
          <w:bCs w:val="0"/>
          <w:sz w:val="30"/>
        </w:rPr>
      </w:pPr>
      <w:bookmarkStart w:id="0" w:name="_Toc24724723"/>
      <w:r>
        <w:rPr>
          <w:rFonts w:hint="eastAsia" w:ascii="方正小标宋_GBK" w:hAnsi="方正小标宋_GBK" w:eastAsia="方正小标宋_GBK"/>
          <w:b w:val="0"/>
          <w:bCs w:val="0"/>
          <w:sz w:val="30"/>
        </w:rPr>
        <w:t>（二十）公共文化服务领域基层政务公开标准目录</w:t>
      </w:r>
      <w:bookmarkEnd w:id="0"/>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3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814" w:type="dxa"/>
            <w:vMerge w:val="continue"/>
            <w:vAlign w:val="center"/>
          </w:tcPr>
          <w:p>
            <w:pPr>
              <w:widowControl/>
              <w:jc w:val="left"/>
              <w:rPr>
                <w:rFonts w:ascii="黑体" w:hAnsi="宋体" w:eastAsia="黑体" w:cs="宋体"/>
                <w:color w:val="000000"/>
                <w:kern w:val="0"/>
                <w:sz w:val="22"/>
              </w:rPr>
            </w:pPr>
          </w:p>
        </w:tc>
        <w:tc>
          <w:tcPr>
            <w:tcW w:w="1426" w:type="dxa"/>
            <w:vMerge w:val="continue"/>
            <w:vAlign w:val="center"/>
          </w:tcPr>
          <w:p>
            <w:pPr>
              <w:widowControl/>
              <w:jc w:val="left"/>
              <w:rPr>
                <w:rFonts w:ascii="黑体" w:hAnsi="宋体" w:eastAsia="黑体" w:cs="宋体"/>
                <w:color w:val="000000"/>
                <w:kern w:val="0"/>
                <w:sz w:val="22"/>
              </w:rPr>
            </w:pPr>
          </w:p>
        </w:tc>
        <w:tc>
          <w:tcPr>
            <w:tcW w:w="1440" w:type="dxa"/>
            <w:vMerge w:val="continue"/>
            <w:vAlign w:val="center"/>
          </w:tcPr>
          <w:p>
            <w:pPr>
              <w:widowControl/>
              <w:jc w:val="left"/>
              <w:rPr>
                <w:rFonts w:ascii="黑体" w:hAnsi="宋体" w:eastAsia="黑体" w:cs="宋体"/>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bookmarkStart w:id="1" w:name="_GoBack"/>
            <w:bookmarkEnd w:id="1"/>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》、《营业性演出管理条例》、《文化部关于落实“先照后证”改进文化市场行政审批工作的通知》 </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3</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8</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中华人民共和国行政许可法</w:t>
            </w: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2</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4</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5</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6</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7</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1</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19</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3</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4.罚处结果。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6</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7</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2</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29</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3</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5</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6</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》、《国务院办公厅关于全面推行行政执法公示制度执法全过程记录制度重大执法决定法制审核制度的指导意见》</w:t>
            </w:r>
          </w:p>
        </w:tc>
        <w:tc>
          <w:tcPr>
            <w:tcW w:w="1814" w:type="dxa"/>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7</w:t>
            </w:r>
          </w:p>
        </w:tc>
        <w:tc>
          <w:tcPr>
            <w:tcW w:w="734"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文化市场综合行政执法局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3</w:t>
            </w:r>
            <w:r>
              <w:rPr>
                <w:rFonts w:hint="eastAsia" w:ascii="仿宋_GB2312" w:hAnsi="Times New Roman" w:eastAsia="仿宋_GB2312"/>
                <w:sz w:val="18"/>
                <w:szCs w:val="18"/>
                <w:lang w:val="en-US" w:eastAsia="zh-CN"/>
              </w:rPr>
              <w:t>8</w:t>
            </w:r>
          </w:p>
        </w:tc>
        <w:tc>
          <w:tcPr>
            <w:tcW w:w="734" w:type="dxa"/>
            <w:vMerge w:val="restart"/>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》、《文化部 财政部关于推进全国美术馆、公共图书馆、文化馆（站）免费开放工作的意见》、《文化部 财政部关于做好城市社区(街道)文化中心免费开放工作的通知》</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default" w:ascii="仿宋_GB2312" w:hAnsi="Times New Roman" w:eastAsia="仿宋_GB2312"/>
                <w:sz w:val="18"/>
                <w:szCs w:val="18"/>
                <w:lang w:val="en-US" w:eastAsia="zh-CN"/>
              </w:rPr>
            </w:pPr>
            <w:r>
              <w:rPr>
                <w:rFonts w:hint="eastAsia" w:ascii="仿宋_GB2312" w:hAnsi="Times New Roman" w:eastAsia="仿宋_GB2312"/>
                <w:sz w:val="18"/>
                <w:szCs w:val="18"/>
                <w:lang w:val="en-US" w:eastAsia="zh-CN"/>
              </w:rPr>
              <w:t>39</w:t>
            </w:r>
          </w:p>
        </w:tc>
        <w:tc>
          <w:tcPr>
            <w:tcW w:w="734" w:type="dxa"/>
            <w:vMerge w:val="continue"/>
            <w:shd w:val="clear" w:color="auto" w:fill="auto"/>
            <w:vAlign w:val="center"/>
          </w:tcPr>
          <w:p>
            <w:pPr>
              <w:spacing w:line="240" w:lineRule="exact"/>
              <w:rPr>
                <w:rFonts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》、《中共中央办公厅 国务院办公厅印发关于加快构建现代公共文化服务体系的意见》</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0</w:t>
            </w:r>
          </w:p>
        </w:tc>
        <w:tc>
          <w:tcPr>
            <w:tcW w:w="734" w:type="dxa"/>
            <w:vMerge w:val="restart"/>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1</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2</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3</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4</w:t>
            </w:r>
          </w:p>
        </w:tc>
        <w:tc>
          <w:tcPr>
            <w:tcW w:w="734" w:type="dxa"/>
            <w:vMerge w:val="continue"/>
            <w:shd w:val="clear" w:color="auto" w:fill="auto"/>
            <w:vAlign w:val="center"/>
          </w:tcPr>
          <w:p>
            <w:pPr>
              <w:spacing w:line="240" w:lineRule="exact"/>
              <w:rPr>
                <w:rFonts w:hint="eastAsia" w:ascii="仿宋_GB2312" w:hAnsi="Times New Roman" w:eastAsia="仿宋_GB2312"/>
                <w:sz w:val="18"/>
                <w:szCs w:val="18"/>
              </w:rPr>
            </w:pP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《非物质文化遗产法》、《</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 xml:space="preserve">》  </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w:t>
            </w:r>
            <w:r>
              <w:rPr>
                <w:rFonts w:hint="eastAsia" w:ascii="仿宋_GB2312" w:hAnsi="Times New Roman" w:eastAsia="仿宋_GB2312"/>
                <w:sz w:val="18"/>
                <w:szCs w:val="18"/>
                <w:lang w:eastAsia="zh-CN"/>
              </w:rPr>
              <w:t>局</w:t>
            </w:r>
            <w:r>
              <w:rPr>
                <w:rFonts w:hint="eastAsia" w:ascii="仿宋_GB2312" w:hAnsi="Times New Roman" w:eastAsia="仿宋_GB2312"/>
                <w:sz w:val="18"/>
                <w:szCs w:val="18"/>
              </w:rPr>
              <w:t>，相关公共文化服务机构</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spacing w:line="240" w:lineRule="exact"/>
              <w:rPr>
                <w:rFonts w:hint="eastAsia" w:ascii="仿宋_GB2312" w:hAnsi="Times New Roman" w:eastAsia="仿宋_GB2312"/>
                <w:sz w:val="18"/>
                <w:szCs w:val="18"/>
                <w:lang w:val="en-US" w:eastAsia="zh-CN"/>
              </w:rPr>
            </w:pPr>
            <w:r>
              <w:rPr>
                <w:rFonts w:hint="eastAsia" w:ascii="仿宋_GB2312" w:hAnsi="Times New Roman" w:eastAsia="仿宋_GB2312"/>
                <w:sz w:val="18"/>
                <w:szCs w:val="18"/>
              </w:rPr>
              <w:t>4</w:t>
            </w:r>
            <w:r>
              <w:rPr>
                <w:rFonts w:hint="eastAsia" w:ascii="仿宋_GB2312" w:hAnsi="Times New Roman" w:eastAsia="仿宋_GB2312"/>
                <w:sz w:val="18"/>
                <w:szCs w:val="18"/>
                <w:lang w:val="en-US" w:eastAsia="zh-CN"/>
              </w:rPr>
              <w:t>5</w:t>
            </w:r>
          </w:p>
        </w:tc>
        <w:tc>
          <w:tcPr>
            <w:tcW w:w="734" w:type="dxa"/>
            <w:shd w:val="clear" w:color="auto" w:fill="auto"/>
            <w:vAlign w:val="center"/>
          </w:tcPr>
          <w:p>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w:t>
            </w:r>
          </w:p>
        </w:tc>
        <w:tc>
          <w:tcPr>
            <w:tcW w:w="1814" w:type="dxa"/>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文化和旅游局</w:t>
            </w:r>
          </w:p>
        </w:tc>
        <w:tc>
          <w:tcPr>
            <w:tcW w:w="144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shd w:val="clear" w:color="auto" w:fill="auto"/>
            <w:vAlign w:val="center"/>
          </w:tcPr>
          <w:p>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pPr>
        <w:jc w:val="left"/>
        <w:rPr>
          <w:rFonts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UyMzQ1ZDEwN2FiYzE2OTQzYzcwODIxYzMwY2IifQ=="/>
  </w:docVars>
  <w:rsids>
    <w:rsidRoot w:val="00416393"/>
    <w:rsid w:val="00146120"/>
    <w:rsid w:val="00190068"/>
    <w:rsid w:val="00193DB9"/>
    <w:rsid w:val="001E6D63"/>
    <w:rsid w:val="002967AA"/>
    <w:rsid w:val="002E0878"/>
    <w:rsid w:val="002F05A8"/>
    <w:rsid w:val="003B2C77"/>
    <w:rsid w:val="004077CB"/>
    <w:rsid w:val="00416393"/>
    <w:rsid w:val="00505CE0"/>
    <w:rsid w:val="00612901"/>
    <w:rsid w:val="0077273F"/>
    <w:rsid w:val="00794728"/>
    <w:rsid w:val="008438B0"/>
    <w:rsid w:val="00902A01"/>
    <w:rsid w:val="00A41EEC"/>
    <w:rsid w:val="00AA6B60"/>
    <w:rsid w:val="00B56955"/>
    <w:rsid w:val="00C3715A"/>
    <w:rsid w:val="00D31D5E"/>
    <w:rsid w:val="00DA3173"/>
    <w:rsid w:val="00F07C25"/>
    <w:rsid w:val="00FA002F"/>
    <w:rsid w:val="06BD673F"/>
    <w:rsid w:val="0C3A1111"/>
    <w:rsid w:val="16886F1D"/>
    <w:rsid w:val="1A6B0047"/>
    <w:rsid w:val="28F66897"/>
    <w:rsid w:val="2A14491F"/>
    <w:rsid w:val="344464D1"/>
    <w:rsid w:val="5A8A254A"/>
    <w:rsid w:val="6DAA1F73"/>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6"/>
    <w:autoRedefine/>
    <w:qFormat/>
    <w:uiPriority w:val="0"/>
    <w:pPr>
      <w:keepNext/>
      <w:keepLines/>
      <w:spacing w:before="340" w:after="330" w:line="578" w:lineRule="auto"/>
      <w:outlineLvl w:val="0"/>
    </w:pPr>
    <w:rPr>
      <w:b/>
      <w:bCs/>
      <w:kern w:val="44"/>
      <w:sz w:val="44"/>
      <w:szCs w:val="44"/>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qFormat/>
    <w:uiPriority w:val="0"/>
    <w:pPr>
      <w:jc w:val="left"/>
    </w:pPr>
  </w:style>
  <w:style w:type="paragraph" w:styleId="4">
    <w:name w:val="Balloon Text"/>
    <w:basedOn w:val="1"/>
    <w:link w:val="20"/>
    <w:autoRedefine/>
    <w:semiHidden/>
    <w:qFormat/>
    <w:uiPriority w:val="0"/>
    <w:rPr>
      <w:sz w:val="18"/>
      <w:szCs w:val="18"/>
    </w:rPr>
  </w:style>
  <w:style w:type="paragraph" w:styleId="5">
    <w:name w:val="footer"/>
    <w:basedOn w:val="1"/>
    <w:link w:val="23"/>
    <w:autoRedefine/>
    <w:qFormat/>
    <w:uiPriority w:val="0"/>
    <w:pPr>
      <w:tabs>
        <w:tab w:val="center" w:pos="4153"/>
        <w:tab w:val="right" w:pos="8306"/>
      </w:tabs>
      <w:snapToGrid w:val="0"/>
      <w:jc w:val="left"/>
    </w:pPr>
    <w:rPr>
      <w:sz w:val="18"/>
      <w:szCs w:val="18"/>
    </w:rPr>
  </w:style>
  <w:style w:type="paragraph" w:styleId="6">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9"/>
    <w:autoRedefine/>
    <w:semiHidden/>
    <w:qFormat/>
    <w:uiPriority w:val="0"/>
    <w:rPr>
      <w:b/>
      <w:bCs/>
    </w:rPr>
  </w:style>
  <w:style w:type="table" w:styleId="10">
    <w:name w:val="Table Grid"/>
    <w:basedOn w:val="9"/>
    <w:qFormat/>
    <w:uiPriority w:val="0"/>
    <w:rPr>
      <w:rFonts w:ascii="Calibri" w:hAnsi="Calibri" w:eastAsia="宋体" w:cs="Times New Roman"/>
      <w:kern w:val="0"/>
      <w:sz w:val="20"/>
      <w:szCs w:val="20"/>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autoRedefine/>
    <w:qFormat/>
    <w:uiPriority w:val="0"/>
  </w:style>
  <w:style w:type="character" w:styleId="13">
    <w:name w:val="FollowedHyperlink"/>
    <w:basedOn w:val="11"/>
    <w:autoRedefine/>
    <w:semiHidden/>
    <w:unhideWhenUsed/>
    <w:qFormat/>
    <w:uiPriority w:val="99"/>
    <w:rPr>
      <w:color w:val="954F72" w:themeColor="followedHyperlink"/>
      <w:u w:val="single"/>
      <w14:textFill>
        <w14:solidFill>
          <w14:schemeClr w14:val="folHlink"/>
        </w14:solidFill>
      </w14:textFill>
    </w:rPr>
  </w:style>
  <w:style w:type="character" w:styleId="14">
    <w:name w:val="Hyperlink"/>
    <w:autoRedefine/>
    <w:qFormat/>
    <w:uiPriority w:val="0"/>
    <w:rPr>
      <w:color w:val="0000FF"/>
      <w:u w:val="single"/>
    </w:rPr>
  </w:style>
  <w:style w:type="character" w:styleId="15">
    <w:name w:val="annotation reference"/>
    <w:autoRedefine/>
    <w:semiHidden/>
    <w:qFormat/>
    <w:uiPriority w:val="0"/>
    <w:rPr>
      <w:sz w:val="21"/>
      <w:szCs w:val="21"/>
    </w:rPr>
  </w:style>
  <w:style w:type="character" w:customStyle="1" w:styleId="16">
    <w:name w:val="标题 1 字符"/>
    <w:basedOn w:val="11"/>
    <w:link w:val="2"/>
    <w:autoRedefine/>
    <w:qFormat/>
    <w:uiPriority w:val="0"/>
    <w:rPr>
      <w:rFonts w:ascii="Calibri" w:hAnsi="Calibri" w:eastAsia="宋体" w:cs="Times New Roman"/>
      <w:b/>
      <w:bCs/>
      <w:kern w:val="44"/>
      <w:sz w:val="44"/>
      <w:szCs w:val="44"/>
    </w:rPr>
  </w:style>
  <w:style w:type="paragraph" w:customStyle="1" w:styleId="17">
    <w:name w:val="列出段落"/>
    <w:basedOn w:val="1"/>
    <w:autoRedefine/>
    <w:qFormat/>
    <w:uiPriority w:val="0"/>
    <w:pPr>
      <w:ind w:firstLine="420" w:firstLineChars="200"/>
    </w:pPr>
    <w:rPr>
      <w:rFonts w:ascii="等线" w:hAnsi="等线" w:eastAsia="等线"/>
    </w:rPr>
  </w:style>
  <w:style w:type="character" w:customStyle="1" w:styleId="18">
    <w:name w:val="批注文字 字符"/>
    <w:basedOn w:val="11"/>
    <w:link w:val="3"/>
    <w:autoRedefine/>
    <w:semiHidden/>
    <w:qFormat/>
    <w:uiPriority w:val="0"/>
    <w:rPr>
      <w:rFonts w:ascii="Calibri" w:hAnsi="Calibri" w:eastAsia="宋体" w:cs="Times New Roman"/>
    </w:rPr>
  </w:style>
  <w:style w:type="character" w:customStyle="1" w:styleId="19">
    <w:name w:val="批注主题 字符"/>
    <w:basedOn w:val="18"/>
    <w:link w:val="8"/>
    <w:autoRedefine/>
    <w:semiHidden/>
    <w:qFormat/>
    <w:uiPriority w:val="0"/>
    <w:rPr>
      <w:rFonts w:ascii="Calibri" w:hAnsi="Calibri" w:eastAsia="宋体" w:cs="Times New Roman"/>
      <w:b/>
      <w:bCs/>
    </w:rPr>
  </w:style>
  <w:style w:type="character" w:customStyle="1" w:styleId="20">
    <w:name w:val="批注框文本 字符"/>
    <w:basedOn w:val="11"/>
    <w:link w:val="4"/>
    <w:autoRedefine/>
    <w:semiHidden/>
    <w:qFormat/>
    <w:uiPriority w:val="0"/>
    <w:rPr>
      <w:rFonts w:ascii="Calibri" w:hAnsi="Calibri" w:eastAsia="宋体" w:cs="Times New Roman"/>
      <w:sz w:val="18"/>
      <w:szCs w:val="18"/>
    </w:rPr>
  </w:style>
  <w:style w:type="paragraph" w:customStyle="1" w:styleId="21">
    <w:name w:val="列出段落1"/>
    <w:basedOn w:val="1"/>
    <w:autoRedefine/>
    <w:qFormat/>
    <w:uiPriority w:val="0"/>
    <w:pPr>
      <w:ind w:firstLine="420" w:firstLineChars="200"/>
    </w:pPr>
  </w:style>
  <w:style w:type="character" w:customStyle="1" w:styleId="22">
    <w:name w:val="页眉 字符"/>
    <w:basedOn w:val="11"/>
    <w:link w:val="6"/>
    <w:autoRedefine/>
    <w:qFormat/>
    <w:uiPriority w:val="0"/>
    <w:rPr>
      <w:rFonts w:ascii="Calibri" w:hAnsi="Calibri" w:eastAsia="宋体" w:cs="Times New Roman"/>
      <w:sz w:val="18"/>
      <w:szCs w:val="18"/>
    </w:rPr>
  </w:style>
  <w:style w:type="character" w:customStyle="1" w:styleId="23">
    <w:name w:val="页脚 字符"/>
    <w:basedOn w:val="11"/>
    <w:link w:val="5"/>
    <w:autoRedefine/>
    <w:qFormat/>
    <w:uiPriority w:val="0"/>
    <w:rPr>
      <w:rFonts w:ascii="Calibri" w:hAnsi="Calibri" w:eastAsia="宋体" w:cs="Times New Roman"/>
      <w:sz w:val="18"/>
      <w:szCs w:val="18"/>
    </w:rPr>
  </w:style>
  <w:style w:type="character" w:customStyle="1" w:styleId="24">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21648-C9C4-49C2-B0C1-E0017C15D30F}">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1339</Words>
  <Characters>7635</Characters>
  <Lines>63</Lines>
  <Paragraphs>17</Paragraphs>
  <TotalTime>12</TotalTime>
  <ScaleCrop>false</ScaleCrop>
  <LinksUpToDate>false</LinksUpToDate>
  <CharactersWithSpaces>8957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2020-03-06T07:39:00Z</dcterms:created>
  <dc:creator>tai yuzhu</dc:creator>
  <cp:lastModifiedBy>绿茶咖啡</cp:lastModifiedBy>
  <dcterms:modified xsi:type="dcterms:W3CDTF">2024-03-28T01:18:25Z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5C1BD8B4DB4D4CD29AB27D4C2C016B76_12</vt:lpwstr>
  </property>
</Properties>
</file>