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eastAsia="zh-CN"/>
        </w:rPr>
      </w:pPr>
      <w:r>
        <w:rPr>
          <w:rFonts w:hint="eastAsia" w:ascii="方正小标宋_GBK" w:hAnsi="方正小标宋_GBK" w:eastAsia="方正小标宋_GBK"/>
          <w:b w:val="0"/>
          <w:bCs w:val="0"/>
          <w:sz w:val="30"/>
          <w:lang w:val="en-US" w:eastAsia="zh-CN"/>
        </w:rPr>
        <w:t xml:space="preserve"> </w:t>
      </w:r>
      <w:bookmarkStart w:id="0" w:name="_GoBack"/>
      <w:bookmarkEnd w:id="0"/>
      <w:r>
        <w:rPr>
          <w:rFonts w:hint="eastAsia" w:ascii="方正小标宋_GBK" w:hAnsi="方正小标宋_GBK" w:eastAsia="方正小标宋_GBK"/>
          <w:b w:val="0"/>
          <w:bCs w:val="0"/>
          <w:sz w:val="30"/>
          <w:lang w:eastAsia="zh-CN"/>
        </w:rPr>
        <w:t>农村集体土地征地基层</w:t>
      </w:r>
      <w:r>
        <w:rPr>
          <w:rFonts w:hint="eastAsia" w:ascii="方正小标宋_GBK" w:hAnsi="方正小标宋_GBK" w:eastAsia="方正小标宋_GBK"/>
          <w:b w:val="0"/>
          <w:bCs w:val="0"/>
          <w:sz w:val="30"/>
        </w:rPr>
        <w:t>政务公开标准目录</w:t>
      </w:r>
    </w:p>
    <w:tbl>
      <w:tblPr>
        <w:tblStyle w:val="13"/>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土地征收启动公告</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widowControl/>
              <w:rPr>
                <w:rFonts w:hint="eastAsia" w:ascii="仿宋_GB2312" w:eastAsia="仿宋_GB2312"/>
                <w:color w:val="000000"/>
                <w:sz w:val="18"/>
                <w:szCs w:val="18"/>
              </w:rPr>
            </w:pPr>
            <w:r>
              <w:rPr>
                <w:rFonts w:hint="eastAsia" w:ascii="仿宋_GB2312" w:eastAsia="仿宋_GB2312"/>
                <w:color w:val="000000"/>
                <w:sz w:val="18"/>
                <w:szCs w:val="18"/>
                <w:lang w:val="en-US" w:eastAsia="zh-CN"/>
              </w:rPr>
              <w:t>1.</w:t>
            </w:r>
            <w:r>
              <w:rPr>
                <w:rFonts w:hint="eastAsia" w:ascii="仿宋_GB2312" w:eastAsia="仿宋_GB2312"/>
                <w:color w:val="000000"/>
                <w:sz w:val="18"/>
                <w:szCs w:val="18"/>
              </w:rPr>
              <w:t>拟征收土地现状调查结果确认书；</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2"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征地补偿安置公告</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征地补偿安置方案拟定后，旗人民政府应发布《征地补偿安置公告》，包括:</w:t>
            </w:r>
          </w:p>
          <w:p>
            <w:pPr>
              <w:rPr>
                <w:rFonts w:hint="eastAsia" w:ascii="仿宋_GB2312" w:eastAsia="仿宋_GB2312"/>
                <w:color w:val="000000"/>
                <w:sz w:val="18"/>
                <w:szCs w:val="18"/>
              </w:rPr>
            </w:pPr>
            <w:r>
              <w:rPr>
                <w:rFonts w:hint="eastAsia" w:ascii="仿宋_GB2312" w:eastAsia="仿宋_GB2312"/>
                <w:color w:val="000000"/>
                <w:sz w:val="18"/>
                <w:szCs w:val="18"/>
              </w:rPr>
              <w:t>1.建设项目拟征收土地范围；2. 土地现状、面积；3.征收土地目的；4.征地补偿标准；5.安置方式；6.社会保障；7.补偿登记期限；8.异议反馈渠道；9.法律法规和本规定规定的其他事项。</w:t>
            </w:r>
          </w:p>
        </w:tc>
        <w:tc>
          <w:tcPr>
            <w:tcW w:w="1260" w:type="dxa"/>
            <w:vMerge w:val="restart"/>
            <w:vAlign w:val="center"/>
          </w:tcPr>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土地管理法</w:t>
            </w:r>
            <w:r>
              <w:rPr>
                <w:rFonts w:hint="eastAsia" w:ascii="仿宋_GB2312" w:eastAsia="仿宋_GB2312"/>
                <w:color w:val="000000"/>
                <w:sz w:val="18"/>
                <w:szCs w:val="18"/>
              </w:rPr>
              <w:t>》、《国土资源部办公厅关于进一步做好市县征地信息公开工作有关问题的通知》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发布之日起，不少于30日。</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ascii="仿宋_GB2312" w:eastAsia="仿宋_GB2312"/>
                <w:color w:val="000000"/>
                <w:sz w:val="18"/>
                <w:szCs w:val="18"/>
              </w:rPr>
            </w:pPr>
          </w:p>
        </w:tc>
        <w:tc>
          <w:tcPr>
            <w:tcW w:w="551"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540" w:type="dxa"/>
            <w:vMerge w:val="restart"/>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5</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widowControl/>
              <w:rPr>
                <w:rFonts w:ascii="仿宋_GB2312" w:eastAsia="仿宋_GB2312"/>
                <w:color w:val="000000"/>
                <w:sz w:val="18"/>
                <w:szCs w:val="18"/>
              </w:rPr>
            </w:pPr>
            <w:r>
              <w:rPr>
                <w:rFonts w:hint="eastAsia" w:ascii="仿宋_GB2312" w:eastAsia="仿宋_GB2312"/>
                <w:color w:val="000000"/>
                <w:sz w:val="18"/>
                <w:szCs w:val="18"/>
              </w:rPr>
              <w:t>1.《听证通知书》；2.听证处理意见；</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w:t>
            </w:r>
            <w:r>
              <w:rPr>
                <w:rFonts w:hint="eastAsia" w:ascii="仿宋_GB2312" w:eastAsia="仿宋_GB2312"/>
                <w:color w:val="000000"/>
                <w:sz w:val="18"/>
                <w:szCs w:val="18"/>
                <w:lang w:val="en-US" w:eastAsia="zh-CN"/>
              </w:rPr>
              <w:t>国土资源听证规定</w:t>
            </w:r>
            <w:r>
              <w:rPr>
                <w:rFonts w:hint="eastAsia" w:ascii="仿宋_GB2312" w:eastAsia="仿宋_GB2312"/>
                <w:color w:val="000000"/>
                <w:sz w:val="18"/>
                <w:szCs w:val="18"/>
                <w:lang w:eastAsia="zh-CN"/>
              </w:rPr>
              <w:t>》、</w:t>
            </w:r>
            <w:r>
              <w:rPr>
                <w:rFonts w:hint="eastAsia" w:ascii="仿宋_GB2312" w:eastAsia="仿宋_GB2312"/>
                <w:color w:val="000000"/>
                <w:sz w:val="18"/>
                <w:szCs w:val="18"/>
              </w:rPr>
              <w:t>《国土资源部办公厅关于进一步做好市县征地信息公开工作有关问题的通知》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①《听证通知书》应在组织听证7个工作日前予以公开；②其他听证公开内容在拟征地听证工作结束后5个工作日内公开</w:t>
            </w:r>
          </w:p>
        </w:tc>
        <w:tc>
          <w:tcPr>
            <w:tcW w:w="16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p>
        </w:tc>
        <w:tc>
          <w:tcPr>
            <w:tcW w:w="554"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p>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r>
              <w:rPr>
                <w:rFonts w:hint="eastAsia" w:ascii="仿宋_GB2312" w:eastAsia="仿宋_GB2312"/>
                <w:color w:val="000000"/>
                <w:sz w:val="18"/>
                <w:szCs w:val="18"/>
              </w:rPr>
              <w:t>√面向拟征收土地所在地的村集体成员</w:t>
            </w:r>
          </w:p>
          <w:p>
            <w:pPr>
              <w:jc w:val="center"/>
              <w:rPr>
                <w:rFonts w:ascii="仿宋_GB2312" w:eastAsia="仿宋_GB2312"/>
                <w:color w:val="000000"/>
                <w:sz w:val="18"/>
                <w:szCs w:val="18"/>
              </w:rPr>
            </w:pPr>
          </w:p>
        </w:tc>
        <w:tc>
          <w:tcPr>
            <w:tcW w:w="551"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r>
              <w:rPr>
                <w:rFonts w:hint="eastAsia" w:ascii="仿宋_GB2312" w:eastAsia="仿宋_GB2312"/>
                <w:color w:val="000000"/>
                <w:sz w:val="18"/>
                <w:szCs w:val="18"/>
              </w:rPr>
              <w:t>√</w:t>
            </w:r>
          </w:p>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p>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p>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hAnsi="Calibri" w:eastAsia="仿宋_GB2312" w:cs="Times New Roman"/>
                <w:color w:val="000000"/>
                <w:kern w:val="2"/>
                <w:sz w:val="18"/>
                <w:szCs w:val="18"/>
                <w:lang w:val="en-US" w:eastAsia="zh-CN" w:bidi="ar-SA"/>
              </w:rPr>
            </w:pPr>
            <w:r>
              <w:rPr>
                <w:rFonts w:hint="eastAsia" w:ascii="仿宋_GB2312" w:eastAsia="仿宋_GB2312"/>
                <w:color w:val="000000"/>
                <w:sz w:val="18"/>
                <w:szCs w:val="18"/>
              </w:rPr>
              <w:t>√</w:t>
            </w:r>
          </w:p>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540" w:type="dxa"/>
            <w:vMerge w:val="continue"/>
            <w:vAlign w:val="center"/>
          </w:tcPr>
          <w:p>
            <w:pPr>
              <w:widowControl/>
              <w:jc w:val="center"/>
              <w:rPr>
                <w:rFonts w:hint="eastAsia" w:ascii="仿宋_GB2312" w:eastAsia="仿宋_GB2312"/>
                <w:color w:val="000000"/>
                <w:sz w:val="18"/>
                <w:szCs w:val="18"/>
                <w:lang w:val="en-US" w:eastAsia="zh-CN"/>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Merge w:val="continue"/>
            <w:shd w:val="clear" w:color="auto" w:fill="auto"/>
            <w:vAlign w:val="center"/>
          </w:tcPr>
          <w:p>
            <w:pPr>
              <w:widowControl/>
              <w:jc w:val="center"/>
              <w:rPr>
                <w:rFonts w:hint="eastAsia" w:ascii="仿宋_GB2312" w:hAnsi="Calibri" w:eastAsia="仿宋_GB2312" w:cs="Times New Roman"/>
                <w:color w:val="000000"/>
                <w:kern w:val="2"/>
                <w:sz w:val="18"/>
                <w:szCs w:val="18"/>
                <w:lang w:val="en-US" w:eastAsia="zh-CN" w:bidi="ar-SA"/>
              </w:rPr>
            </w:pPr>
          </w:p>
        </w:tc>
        <w:tc>
          <w:tcPr>
            <w:tcW w:w="875" w:type="dxa"/>
            <w:vMerge w:val="continue"/>
            <w:shd w:val="clear" w:color="auto" w:fill="auto"/>
            <w:vAlign w:val="center"/>
          </w:tcPr>
          <w:p>
            <w:pPr>
              <w:jc w:val="center"/>
              <w:rPr>
                <w:rFonts w:ascii="仿宋_GB2312" w:hAnsi="Calibri" w:eastAsia="仿宋_GB2312" w:cs="Times New Roman"/>
                <w:color w:val="000000"/>
                <w:kern w:val="2"/>
                <w:sz w:val="18"/>
                <w:szCs w:val="18"/>
                <w:lang w:val="en-US" w:eastAsia="zh-CN" w:bidi="ar-SA"/>
              </w:rPr>
            </w:pPr>
          </w:p>
        </w:tc>
        <w:tc>
          <w:tcPr>
            <w:tcW w:w="551"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5" w:hRule="atLeast"/>
          <w:jc w:val="center"/>
        </w:trPr>
        <w:tc>
          <w:tcPr>
            <w:tcW w:w="540" w:type="dxa"/>
            <w:vAlign w:val="center"/>
          </w:tcPr>
          <w:p>
            <w:pPr>
              <w:widowControl/>
              <w:ind w:firstLine="90" w:firstLineChars="50"/>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6</w:t>
            </w:r>
          </w:p>
        </w:tc>
        <w:tc>
          <w:tcPr>
            <w:tcW w:w="720" w:type="dxa"/>
            <w:vMerge w:val="restart"/>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乌审旗自然资源局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7</w:t>
            </w:r>
          </w:p>
        </w:tc>
        <w:tc>
          <w:tcPr>
            <w:tcW w:w="720" w:type="dxa"/>
            <w:vMerge w:val="continue"/>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乌审旗自然资源局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8</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乌审旗自然资源局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ascii="宋体" w:hAnsi="宋体"/>
          <w:sz w:val="28"/>
          <w:szCs w:val="28"/>
        </w:rPr>
      </w:pPr>
      <w:r>
        <w:rPr>
          <w:rFonts w:hint="eastAsia" w:ascii="宋体" w:hAnsi="宋体"/>
          <w:sz w:val="18"/>
          <w:szCs w:val="18"/>
        </w:rPr>
        <w:t>注：</w:t>
      </w:r>
      <w:r>
        <w:rPr>
          <w:rFonts w:hint="eastAsia" w:ascii="宋体" w:hAnsi="宋体"/>
          <w:sz w:val="18"/>
          <w:szCs w:val="18"/>
          <w:lang w:val="en-US" w:eastAsia="zh-CN"/>
        </w:rPr>
        <w:t>1.</w:t>
      </w:r>
      <w:r>
        <w:rPr>
          <w:rFonts w:hint="eastAsia" w:ascii="宋体" w:hAnsi="宋体"/>
          <w:sz w:val="18"/>
          <w:szCs w:val="18"/>
        </w:rPr>
        <w:t>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3DB9"/>
    <w:rsid w:val="001E6D63"/>
    <w:rsid w:val="002967AA"/>
    <w:rsid w:val="002E0878"/>
    <w:rsid w:val="003B2C77"/>
    <w:rsid w:val="004077CB"/>
    <w:rsid w:val="00416393"/>
    <w:rsid w:val="00612901"/>
    <w:rsid w:val="008438B0"/>
    <w:rsid w:val="00902A01"/>
    <w:rsid w:val="00A41EEC"/>
    <w:rsid w:val="00BB6CC6"/>
    <w:rsid w:val="00C3715A"/>
    <w:rsid w:val="00E26623"/>
    <w:rsid w:val="00FA002F"/>
    <w:rsid w:val="038A79D2"/>
    <w:rsid w:val="0C7D0970"/>
    <w:rsid w:val="0CBD70F9"/>
    <w:rsid w:val="11B126F5"/>
    <w:rsid w:val="127D41EC"/>
    <w:rsid w:val="197828C8"/>
    <w:rsid w:val="1A5029BE"/>
    <w:rsid w:val="2769786D"/>
    <w:rsid w:val="313B4B8F"/>
    <w:rsid w:val="33DA17E2"/>
    <w:rsid w:val="3F995E8D"/>
    <w:rsid w:val="534269A5"/>
    <w:rsid w:val="5603150E"/>
    <w:rsid w:val="58D9248A"/>
    <w:rsid w:val="5D157076"/>
    <w:rsid w:val="62172901"/>
    <w:rsid w:val="64DD644E"/>
    <w:rsid w:val="6A145B4F"/>
    <w:rsid w:val="6A1E6052"/>
    <w:rsid w:val="719E153D"/>
    <w:rsid w:val="72C03955"/>
    <w:rsid w:val="74E04CE0"/>
    <w:rsid w:val="7A014E4F"/>
    <w:rsid w:val="7DCC7FB4"/>
  </w:rsids>
  <m:mathPr>
    <m:lMargin m:val="0"/>
    <m:mathFont m:val="Cambria Math"/>
    <m:rMargin m:val="0"/>
    <m:wrapIndent m:val="1440"/>
    <m:brkBin m:val="before"/>
    <m:brkBinSub m:val="--"/>
    <m:defJc m:val="centerGroup"/>
    <m:intLim m:val="subSup"/>
    <m:naryLim m:val="undOvr"/>
    <m:smallFrac m:val="0"/>
    <m:dispDef/>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qFormat/>
    <w:uiPriority w:val="0"/>
    <w:rPr>
      <w:b/>
      <w:bCs/>
    </w:rPr>
  </w:style>
  <w:style w:type="paragraph" w:styleId="4">
    <w:name w:val="annotation text"/>
    <w:basedOn w:val="1"/>
    <w:link w:val="17"/>
    <w:semiHidden/>
    <w:qFormat/>
    <w:uiPriority w:val="0"/>
    <w:pPr>
      <w:jc w:val="left"/>
    </w:pPr>
  </w:style>
  <w:style w:type="paragraph" w:styleId="5">
    <w:name w:val="Balloon Text"/>
    <w:basedOn w:val="1"/>
    <w:link w:val="19"/>
    <w:semiHidden/>
    <w:qFormat/>
    <w:uiPriority w:val="0"/>
    <w:rPr>
      <w:sz w:val="18"/>
      <w:szCs w:val="18"/>
    </w:rPr>
  </w:style>
  <w:style w:type="paragraph" w:styleId="6">
    <w:name w:val="footer"/>
    <w:basedOn w:val="1"/>
    <w:link w:val="22"/>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semiHidden/>
    <w:qFormat/>
    <w:uiPriority w:val="0"/>
    <w:rPr>
      <w:sz w:val="21"/>
      <w:szCs w:val="21"/>
    </w:rPr>
  </w:style>
  <w:style w:type="table" w:styleId="14">
    <w:name w:val="Table Grid"/>
    <w:basedOn w:val="13"/>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5">
    <w:name w:val="标题 1 字符"/>
    <w:basedOn w:val="9"/>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9"/>
    <w:link w:val="4"/>
    <w:semiHidden/>
    <w:qFormat/>
    <w:uiPriority w:val="0"/>
    <w:rPr>
      <w:rFonts w:ascii="Calibri" w:hAnsi="Calibri" w:eastAsia="宋体" w:cs="Times New Roman"/>
    </w:rPr>
  </w:style>
  <w:style w:type="character" w:customStyle="1" w:styleId="18">
    <w:name w:val="批注主题 字符"/>
    <w:basedOn w:val="17"/>
    <w:link w:val="3"/>
    <w:semiHidden/>
    <w:qFormat/>
    <w:uiPriority w:val="0"/>
    <w:rPr>
      <w:rFonts w:ascii="Calibri" w:hAnsi="Calibri" w:eastAsia="宋体" w:cs="Times New Roman"/>
      <w:b/>
      <w:bCs/>
    </w:rPr>
  </w:style>
  <w:style w:type="character" w:customStyle="1" w:styleId="19">
    <w:name w:val="批注框文本 字符"/>
    <w:basedOn w:val="9"/>
    <w:link w:val="5"/>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9"/>
    <w:link w:val="7"/>
    <w:qFormat/>
    <w:uiPriority w:val="0"/>
    <w:rPr>
      <w:rFonts w:ascii="Calibri" w:hAnsi="Calibri" w:eastAsia="宋体" w:cs="Times New Roman"/>
      <w:sz w:val="18"/>
      <w:szCs w:val="18"/>
    </w:rPr>
  </w:style>
  <w:style w:type="character" w:customStyle="1" w:styleId="22">
    <w:name w:val="页脚 字符"/>
    <w:basedOn w:val="9"/>
    <w:link w:val="6"/>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332A9-A4E7-49F9-9940-EAC5B9178065}">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530</Words>
  <Characters>3024</Characters>
  <Lines>25</Lines>
  <Paragraphs>7</Paragraphs>
  <ScaleCrop>false</ScaleCrop>
  <LinksUpToDate>false</LinksUpToDate>
  <CharactersWithSpaces>3547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2020-03-06T07:02:00Z</dcterms:created>
  <dc:creator>tai yuzhu</dc:creator>
  <cp:lastModifiedBy>jjyy</cp:lastModifiedBy>
  <dcterms:modified xsi:type="dcterms:W3CDTF">2020-09-17T02:09:54Z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