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after="0"/>
        <w:jc w:val="center"/>
        <w:rPr>
          <w:rFonts w:ascii="方正小标宋_GBK" w:eastAsia="方正小标宋_GBK"/>
          <w:b w:val="0"/>
          <w:sz w:val="30"/>
          <w:szCs w:val="30"/>
        </w:rPr>
      </w:pPr>
      <w:bookmarkStart w:id="0" w:name="_Toc24724713"/>
      <w:r>
        <w:rPr>
          <w:rFonts w:hint="eastAsia" w:ascii="方正小标宋_GBK" w:eastAsia="方正小标宋_GBK"/>
          <w:b w:val="0"/>
          <w:sz w:val="30"/>
          <w:szCs w:val="30"/>
        </w:rPr>
        <w:t>社会保险领域基层政务公开标准目录</w:t>
      </w:r>
      <w:bookmarkEnd w:id="0"/>
    </w:p>
    <w:p/>
    <w:tbl>
      <w:tblPr>
        <w:tblStyle w:val="9"/>
        <w:tblW w:w="15716" w:type="dxa"/>
        <w:tblInd w:w="-87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720"/>
        <w:gridCol w:w="1080"/>
        <w:gridCol w:w="3060"/>
        <w:gridCol w:w="2036"/>
        <w:gridCol w:w="1620"/>
        <w:gridCol w:w="1461"/>
        <w:gridCol w:w="1200"/>
        <w:gridCol w:w="579"/>
        <w:gridCol w:w="720"/>
        <w:gridCol w:w="540"/>
        <w:gridCol w:w="720"/>
        <w:gridCol w:w="720"/>
        <w:gridCol w:w="7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restart"/>
            <w:shd w:val="clear" w:color="auto" w:fill="auto"/>
            <w:vAlign w:val="center"/>
          </w:tcPr>
          <w:p>
            <w:pPr>
              <w:widowControl/>
              <w:jc w:val="center"/>
              <w:rPr>
                <w:rFonts w:ascii="黑体" w:hAnsi="Times New Roman" w:eastAsia="黑体"/>
                <w:kern w:val="0"/>
                <w:sz w:val="22"/>
              </w:rPr>
            </w:pPr>
            <w:r>
              <w:rPr>
                <w:rFonts w:hint="eastAsia" w:ascii="黑体" w:hAnsi="宋体" w:eastAsia="黑体"/>
                <w:kern w:val="0"/>
                <w:sz w:val="22"/>
              </w:rPr>
              <w:t>序号</w:t>
            </w:r>
          </w:p>
        </w:tc>
        <w:tc>
          <w:tcPr>
            <w:tcW w:w="1800" w:type="dxa"/>
            <w:gridSpan w:val="2"/>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公开事项</w:t>
            </w:r>
          </w:p>
        </w:tc>
        <w:tc>
          <w:tcPr>
            <w:tcW w:w="306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公开内容（要素）</w:t>
            </w:r>
          </w:p>
        </w:tc>
        <w:tc>
          <w:tcPr>
            <w:tcW w:w="2036"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公开依据</w:t>
            </w:r>
          </w:p>
        </w:tc>
        <w:tc>
          <w:tcPr>
            <w:tcW w:w="162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公开时限</w:t>
            </w:r>
          </w:p>
        </w:tc>
        <w:tc>
          <w:tcPr>
            <w:tcW w:w="1461"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公开主体</w:t>
            </w:r>
          </w:p>
        </w:tc>
        <w:tc>
          <w:tcPr>
            <w:tcW w:w="1200" w:type="dxa"/>
            <w:vMerge w:val="restart"/>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公开渠道和载体</w:t>
            </w:r>
          </w:p>
        </w:tc>
        <w:tc>
          <w:tcPr>
            <w:tcW w:w="1299" w:type="dxa"/>
            <w:gridSpan w:val="2"/>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公开对象</w:t>
            </w:r>
          </w:p>
        </w:tc>
        <w:tc>
          <w:tcPr>
            <w:tcW w:w="1260" w:type="dxa"/>
            <w:gridSpan w:val="2"/>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公开方式</w:t>
            </w:r>
          </w:p>
        </w:tc>
        <w:tc>
          <w:tcPr>
            <w:tcW w:w="1440" w:type="dxa"/>
            <w:gridSpan w:val="2"/>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公开层级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Merge w:val="continue"/>
            <w:vAlign w:val="center"/>
          </w:tcPr>
          <w:p>
            <w:pPr>
              <w:widowControl/>
              <w:jc w:val="left"/>
              <w:rPr>
                <w:rFonts w:ascii="Times New Roman" w:hAnsi="Times New Roman"/>
                <w:kern w:val="0"/>
                <w:sz w:val="15"/>
                <w:szCs w:val="15"/>
              </w:rPr>
            </w:pPr>
          </w:p>
        </w:tc>
        <w:tc>
          <w:tcPr>
            <w:tcW w:w="720" w:type="dxa"/>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一级事项</w:t>
            </w:r>
          </w:p>
        </w:tc>
        <w:tc>
          <w:tcPr>
            <w:tcW w:w="1080" w:type="dxa"/>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二级事项</w:t>
            </w:r>
          </w:p>
        </w:tc>
        <w:tc>
          <w:tcPr>
            <w:tcW w:w="3060" w:type="dxa"/>
            <w:vMerge w:val="continue"/>
            <w:vAlign w:val="center"/>
          </w:tcPr>
          <w:p>
            <w:pPr>
              <w:widowControl/>
              <w:rPr>
                <w:rFonts w:ascii="黑体" w:hAnsi="宋体" w:eastAsia="黑体" w:cs="宋体"/>
                <w:kern w:val="0"/>
                <w:sz w:val="22"/>
              </w:rPr>
            </w:pPr>
          </w:p>
        </w:tc>
        <w:tc>
          <w:tcPr>
            <w:tcW w:w="2036" w:type="dxa"/>
            <w:vMerge w:val="continue"/>
            <w:vAlign w:val="center"/>
          </w:tcPr>
          <w:p>
            <w:pPr>
              <w:widowControl/>
              <w:jc w:val="left"/>
              <w:rPr>
                <w:rFonts w:ascii="黑体" w:hAnsi="宋体" w:eastAsia="黑体" w:cs="宋体"/>
                <w:kern w:val="0"/>
                <w:sz w:val="22"/>
              </w:rPr>
            </w:pPr>
          </w:p>
        </w:tc>
        <w:tc>
          <w:tcPr>
            <w:tcW w:w="1620" w:type="dxa"/>
            <w:vMerge w:val="continue"/>
            <w:vAlign w:val="center"/>
          </w:tcPr>
          <w:p>
            <w:pPr>
              <w:widowControl/>
              <w:jc w:val="left"/>
              <w:rPr>
                <w:rFonts w:ascii="黑体" w:hAnsi="宋体" w:eastAsia="黑体" w:cs="宋体"/>
                <w:kern w:val="0"/>
                <w:sz w:val="22"/>
              </w:rPr>
            </w:pPr>
          </w:p>
        </w:tc>
        <w:tc>
          <w:tcPr>
            <w:tcW w:w="1461" w:type="dxa"/>
            <w:vMerge w:val="continue"/>
            <w:vAlign w:val="center"/>
          </w:tcPr>
          <w:p>
            <w:pPr>
              <w:widowControl/>
              <w:jc w:val="left"/>
              <w:rPr>
                <w:rFonts w:ascii="黑体" w:hAnsi="宋体" w:eastAsia="黑体" w:cs="宋体"/>
                <w:kern w:val="0"/>
                <w:sz w:val="22"/>
              </w:rPr>
            </w:pPr>
          </w:p>
        </w:tc>
        <w:tc>
          <w:tcPr>
            <w:tcW w:w="1200" w:type="dxa"/>
            <w:vMerge w:val="continue"/>
            <w:vAlign w:val="center"/>
          </w:tcPr>
          <w:p>
            <w:pPr>
              <w:widowControl/>
              <w:jc w:val="left"/>
              <w:rPr>
                <w:rFonts w:ascii="黑体" w:hAnsi="宋体" w:eastAsia="黑体" w:cs="宋体"/>
                <w:kern w:val="0"/>
                <w:sz w:val="22"/>
              </w:rPr>
            </w:pPr>
          </w:p>
        </w:tc>
        <w:tc>
          <w:tcPr>
            <w:tcW w:w="579" w:type="dxa"/>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全社会</w:t>
            </w:r>
          </w:p>
        </w:tc>
        <w:tc>
          <w:tcPr>
            <w:tcW w:w="720" w:type="dxa"/>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特定群众</w:t>
            </w:r>
          </w:p>
        </w:tc>
        <w:tc>
          <w:tcPr>
            <w:tcW w:w="540" w:type="dxa"/>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主动</w:t>
            </w:r>
          </w:p>
        </w:tc>
        <w:tc>
          <w:tcPr>
            <w:tcW w:w="720" w:type="dxa"/>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依申请公开</w:t>
            </w:r>
          </w:p>
        </w:tc>
        <w:tc>
          <w:tcPr>
            <w:tcW w:w="720" w:type="dxa"/>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县级</w:t>
            </w:r>
          </w:p>
        </w:tc>
        <w:tc>
          <w:tcPr>
            <w:tcW w:w="720" w:type="dxa"/>
            <w:shd w:val="clear" w:color="auto" w:fill="auto"/>
            <w:vAlign w:val="center"/>
          </w:tcPr>
          <w:p>
            <w:pPr>
              <w:widowControl/>
              <w:jc w:val="center"/>
              <w:rPr>
                <w:rFonts w:ascii="黑体" w:hAnsi="宋体" w:eastAsia="黑体" w:cs="宋体"/>
                <w:kern w:val="0"/>
                <w:sz w:val="22"/>
              </w:rPr>
            </w:pPr>
            <w:r>
              <w:rPr>
                <w:rFonts w:hint="eastAsia" w:ascii="黑体" w:hAnsi="宋体" w:eastAsia="黑体" w:cs="宋体"/>
                <w:kern w:val="0"/>
                <w:sz w:val="22"/>
              </w:rPr>
              <w:t>乡、村级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1</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社会保险登记</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机关事业单位社会保险登记</w:t>
            </w:r>
          </w:p>
        </w:tc>
        <w:tc>
          <w:tcPr>
            <w:tcW w:w="3060" w:type="dxa"/>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、《国务院关于机关事业单位工作人员养老保险制度改革的决定》</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 w:hAnsi="仿宋" w:eastAsia="仿宋" w:cs="仿宋"/>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2</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工程建设项目办理工伤保险参保登记</w:t>
            </w:r>
          </w:p>
        </w:tc>
        <w:tc>
          <w:tcPr>
            <w:tcW w:w="3060" w:type="dxa"/>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、《社会保险费征缴暂行条例》</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3</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社会保险登记</w:t>
            </w:r>
          </w:p>
          <w:p>
            <w:pPr>
              <w:rPr>
                <w:rFonts w:ascii="仿宋_GB2312" w:hAnsi="宋体" w:eastAsia="仿宋_GB2312"/>
                <w:sz w:val="18"/>
                <w:szCs w:val="18"/>
              </w:rPr>
            </w:pPr>
            <w:r>
              <w:rPr>
                <w:rFonts w:hint="eastAsia" w:ascii="仿宋_GB2312" w:hAnsi="宋体" w:eastAsia="仿宋_GB2312"/>
                <w:sz w:val="18"/>
                <w:szCs w:val="18"/>
              </w:rPr>
              <w:t>　</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参保单位注销</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、《社会保险费征缴暂行条例》</w:t>
            </w:r>
          </w:p>
          <w:p>
            <w:pPr>
              <w:rPr>
                <w:rFonts w:ascii="仿宋_GB2312" w:hAnsi="宋体" w:eastAsia="仿宋_GB2312"/>
                <w:sz w:val="18"/>
                <w:szCs w:val="18"/>
              </w:rPr>
            </w:pP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p>
            <w:pPr>
              <w:rPr>
                <w:rFonts w:ascii="仿宋_GB2312" w:hAnsi="宋体" w:eastAsia="仿宋_GB2312"/>
                <w:sz w:val="18"/>
                <w:szCs w:val="18"/>
              </w:rPr>
            </w:pP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p>
            <w:pPr>
              <w:rPr>
                <w:rFonts w:ascii="仿宋_GB2312" w:hAnsi="宋体" w:eastAsia="仿宋_GB2312"/>
                <w:sz w:val="18"/>
                <w:szCs w:val="18"/>
              </w:rPr>
            </w:pP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4</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职工参保登记</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5</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城乡居民养老保险参保登记</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6</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社会保险参保信息维护</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单位（项目）基本信息变更</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、《社会保险费征缴暂行条例》</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7</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个人基本信息变更</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8</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社会保险参保信息维护</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养老保险待遇发放账户维护申请</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、《社会保险费征缴暂行条例》</w:t>
            </w:r>
          </w:p>
          <w:p>
            <w:pPr>
              <w:rPr>
                <w:rFonts w:ascii="仿宋_GB2312" w:hAnsi="宋体" w:eastAsia="仿宋_GB2312"/>
                <w:sz w:val="18"/>
                <w:szCs w:val="18"/>
              </w:rPr>
            </w:pP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p>
            <w:pPr>
              <w:rPr>
                <w:rFonts w:ascii="仿宋_GB2312" w:hAnsi="宋体" w:eastAsia="仿宋_GB2312"/>
                <w:sz w:val="18"/>
                <w:szCs w:val="18"/>
              </w:rPr>
            </w:pP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p>
            <w:pPr>
              <w:rPr>
                <w:rFonts w:ascii="仿宋_GB2312" w:hAnsi="宋体" w:eastAsia="仿宋_GB2312"/>
                <w:sz w:val="18"/>
                <w:szCs w:val="18"/>
              </w:rPr>
            </w:pP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9</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工伤保险待遇发放账户维护申请</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5" w:hRule="atLeas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10</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失业保险待遇发放账户维护申请</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11</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社会保险缴费申报</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缴费人员增减申报</w:t>
            </w:r>
          </w:p>
        </w:tc>
        <w:tc>
          <w:tcPr>
            <w:tcW w:w="3060" w:type="dxa"/>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、《社会保险费征缴暂行条例》</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12</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社会保险缴费申报</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社会保险缴费申报与变更</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br w:type="page"/>
            </w:r>
            <w:r>
              <w:rPr>
                <w:rFonts w:hint="eastAsia" w:ascii="仿宋_GB2312" w:hAnsi="宋体" w:eastAsia="仿宋_GB2312"/>
                <w:sz w:val="18"/>
                <w:szCs w:val="18"/>
              </w:rPr>
              <w:t>、《社会保险费征缴暂行条例》</w:t>
            </w:r>
          </w:p>
          <w:p>
            <w:pPr>
              <w:rPr>
                <w:rFonts w:ascii="仿宋_GB2312" w:hAnsi="宋体" w:eastAsia="仿宋_GB2312"/>
                <w:sz w:val="18"/>
                <w:szCs w:val="18"/>
              </w:rPr>
            </w:pP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p>
            <w:pPr>
              <w:rPr>
                <w:rFonts w:ascii="仿宋_GB2312" w:hAnsi="宋体" w:eastAsia="仿宋_GB2312"/>
                <w:sz w:val="18"/>
                <w:szCs w:val="18"/>
              </w:rPr>
            </w:pP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p>
            <w:pPr>
              <w:rPr>
                <w:rFonts w:ascii="仿宋_GB2312" w:hAnsi="宋体" w:eastAsia="仿宋_GB2312"/>
                <w:sz w:val="18"/>
                <w:szCs w:val="18"/>
              </w:rPr>
            </w:pP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13</w:t>
            </w:r>
          </w:p>
        </w:tc>
        <w:tc>
          <w:tcPr>
            <w:tcW w:w="720" w:type="dxa"/>
            <w:vMerge w:val="continue"/>
            <w:shd w:val="clear" w:color="auto" w:fill="auto"/>
            <w:vAlign w:val="center"/>
          </w:tcPr>
          <w:p>
            <w:pPr>
              <w:jc w:val="cente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社会保险费延缴申请</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27" w:hRule="atLeas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14</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社会保险费欠费补缴申报</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15</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社会保险参保缴费记录查询</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单位参保证明查询打印</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br w:type="page"/>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br w:type="page"/>
            </w:r>
            <w:r>
              <w:rPr>
                <w:rFonts w:hint="eastAsia" w:ascii="仿宋_GB2312" w:hAnsi="宋体" w:eastAsia="仿宋_GB2312"/>
                <w:sz w:val="18"/>
                <w:szCs w:val="18"/>
              </w:rPr>
              <w:t>、《社会保险费征缴暂行条例》</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16</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个人权益记录查询打印</w:t>
            </w:r>
          </w:p>
        </w:tc>
        <w:tc>
          <w:tcPr>
            <w:tcW w:w="3060" w:type="dxa"/>
            <w:vMerge w:val="continue"/>
            <w:vAlign w:val="center"/>
          </w:tcPr>
          <w:p>
            <w:pPr>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17</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养老保险服务</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职工正常退休(职)申请</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中华人民共和国劳动保险条例</w:t>
            </w:r>
            <w:r>
              <w:rPr>
                <w:rFonts w:hint="eastAsia" w:ascii="仿宋_GB2312" w:hAnsi="宋体" w:eastAsia="仿宋_GB2312"/>
                <w:sz w:val="18"/>
                <w:szCs w:val="18"/>
              </w:rPr>
              <w:t>》</w:t>
            </w:r>
          </w:p>
          <w:p>
            <w:pPr>
              <w:rPr>
                <w:rFonts w:ascii="仿宋_GB2312" w:hAnsi="宋体" w:eastAsia="仿宋_GB2312"/>
                <w:sz w:val="18"/>
                <w:szCs w:val="18"/>
              </w:rPr>
            </w:pP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p>
            <w:pPr>
              <w:rPr>
                <w:rFonts w:ascii="仿宋_GB2312" w:hAnsi="宋体" w:eastAsia="仿宋_GB2312"/>
                <w:sz w:val="18"/>
                <w:szCs w:val="18"/>
              </w:rPr>
            </w:pP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p>
            <w:pPr>
              <w:rPr>
                <w:rFonts w:ascii="仿宋_GB2312" w:hAnsi="宋体" w:eastAsia="仿宋_GB2312"/>
                <w:sz w:val="18"/>
                <w:szCs w:val="18"/>
              </w:rPr>
            </w:pP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18</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城乡居民养老保险待遇申领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19</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暂停养老保险待遇申请</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20</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恢复养老保险待遇申请</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21</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个人账户一次性待遇申领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22</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丧葬补助金、抚恤金申领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23</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养老保险服务</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居民养老保险注销登记</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中华人民共和国劳动保险条例</w:t>
            </w:r>
            <w:r>
              <w:rPr>
                <w:rFonts w:hint="eastAsia" w:ascii="仿宋_GB2312" w:hAnsi="宋体" w:eastAsia="仿宋_GB2312"/>
                <w:sz w:val="18"/>
                <w:szCs w:val="18"/>
              </w:rPr>
              <w:t>》</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24</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遗属待遇申领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25</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病残津贴申领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26</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城镇职工基本养老保险关系转移接续申请</w:t>
            </w:r>
          </w:p>
        </w:tc>
        <w:tc>
          <w:tcPr>
            <w:tcW w:w="3060" w:type="dxa"/>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、《国务院办公厅关于转发人力资源社会保障部财政部城镇企业职工基本养老保险关系转移接续暂行办法的通知》</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27</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机关事业单位养老保险关系转移接续申请</w:t>
            </w:r>
          </w:p>
        </w:tc>
        <w:tc>
          <w:tcPr>
            <w:tcW w:w="3060" w:type="dxa"/>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、《人力资源社会保障部财政部关于机关事业单位基本养老保险关系和职业年金转移接续有关问题的通知》</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28</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养老保险服务</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城乡居民基本养老保险关系转移接续申请</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中华人民共和国劳动保险条例</w:t>
            </w:r>
            <w:r>
              <w:rPr>
                <w:rFonts w:hint="eastAsia" w:ascii="仿宋_GB2312" w:hAnsi="宋体" w:eastAsia="仿宋_GB2312"/>
                <w:sz w:val="18"/>
                <w:szCs w:val="18"/>
              </w:rPr>
              <w:t>》</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29</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机关事业单位基本养老保险与城镇企业职工基本养老保险互转申请</w:t>
            </w:r>
          </w:p>
        </w:tc>
        <w:tc>
          <w:tcPr>
            <w:tcW w:w="3060" w:type="dxa"/>
            <w:vMerge w:val="continue"/>
            <w:vAlign w:val="center"/>
          </w:tcPr>
          <w:p>
            <w:pPr>
              <w:jc w:val="left"/>
              <w:rPr>
                <w:rFonts w:ascii="仿宋_GB2312" w:hAnsi="宋体" w:eastAsia="仿宋_GB2312"/>
                <w:sz w:val="18"/>
                <w:szCs w:val="18"/>
              </w:rPr>
            </w:pP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、《人力资源社会保障部财政部关于机关事业单位基本养老保险关系和职业年金转移接续有关问题的通知》</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30</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 xml:space="preserve">城镇职工基本养老保险与城乡居民基本养老保险制度衔接申请  </w:t>
            </w:r>
          </w:p>
        </w:tc>
        <w:tc>
          <w:tcPr>
            <w:tcW w:w="3060" w:type="dxa"/>
            <w:vMerge w:val="continue"/>
            <w:vAlign w:val="center"/>
          </w:tcPr>
          <w:p>
            <w:pPr>
              <w:jc w:val="left"/>
              <w:rPr>
                <w:rFonts w:ascii="仿宋_GB2312" w:hAnsi="宋体" w:eastAsia="仿宋_GB2312"/>
                <w:sz w:val="18"/>
                <w:szCs w:val="18"/>
              </w:rPr>
            </w:pP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《人力资源社会保障部财政部关于印发＜城乡养老保险制度衔接暂行办法＞的通知》</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31</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养老保险服务</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军地养老保险关系转移接续申请</w:t>
            </w:r>
          </w:p>
        </w:tc>
        <w:tc>
          <w:tcPr>
            <w:tcW w:w="3060" w:type="dxa"/>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、《人力资源社会保障部财政部总参谋部总政治部总后勤部关于军人退役基本养老保险关系转移接续有关问题的通知》</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32</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多重养老保险关系个人账户退费</w:t>
            </w:r>
          </w:p>
        </w:tc>
        <w:tc>
          <w:tcPr>
            <w:tcW w:w="3060" w:type="dxa"/>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、《人力资源和社会保障部＜关于贯彻落实国务院办公厅转发城镇企业职工基本养老保险关系转移接续暂行办法的通知》</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33</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工伤保险服务</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工伤事故备案</w:t>
            </w:r>
          </w:p>
        </w:tc>
        <w:tc>
          <w:tcPr>
            <w:tcW w:w="3060" w:type="dxa"/>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、《工伤保险条例》</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34</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工伤保险服务</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用人单位办理工伤登记</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、《工伤保险条例》</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35</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变更工伤登记</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36</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协议医疗机构的确认</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37</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协议康复机构的确认</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38</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辅助器具配置协议机构的确认</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39</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异地居住就医申请确认</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40</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异地工伤就医报告</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41</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工伤保险服务</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旧伤复发申请确认</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、《工伤保险条例》</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42</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转诊转院申请确认</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43</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工伤康复申请确认</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44</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工伤康复治疗期延长申请</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45</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辅助器具配置或更换申请</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46</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辅助器具异地配置申请</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47</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停工留薪期确认和延长确认</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48</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工伤保险服务</w:t>
            </w:r>
          </w:p>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工伤医疗（康复）费用申报</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、《工伤保险条例》</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49</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住院伙食补助费申领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50</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统筹地区以外交通、食宿费申领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51</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一次性工伤医疗补助金申请</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52</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辅助器具配置（更换）费用申报</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53</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工伤保险服务</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伤残待遇申领（一次性伤残补助金、伤残津贴和生活护理费）</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、《工伤保险条例》</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54</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一次性工亡补助金（含生活困难，预支50%确认）、丧葬补助金申领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55</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供养亲属抚恤金申领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56</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工伤保险待遇变更</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57</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失业保险服务</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失业保险金申领</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、《失业保险条例》</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58</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丧葬补助金和抚恤金申领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59</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职业培训补贴申领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20" w:hRule="atLeas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60</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职业介绍补贴申领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61</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农民合同制工人一次性生活补助申领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9" w:hRule="atLeas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62</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代缴基本医疗保险费</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63</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失业保险服务</w:t>
            </w:r>
          </w:p>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价格临时补贴申领</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、《失业保险条例》</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64</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失业保险关系转移接续</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65</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稳岗补贴申领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66</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技能提升补贴申领</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67</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东部7省（市）扩大支出试点项目</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68</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企业年金方案备案</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企业年金方案备案</w:t>
            </w:r>
          </w:p>
        </w:tc>
        <w:tc>
          <w:tcPr>
            <w:tcW w:w="3060" w:type="dxa"/>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、《企业年金办法》</w:t>
            </w:r>
          </w:p>
        </w:tc>
        <w:tc>
          <w:tcPr>
            <w:tcW w:w="1620" w:type="dxa"/>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69</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企业年金方案备案</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企业年金方案重要条款变更备案</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、《企业年金办法》</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70</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企业年金方案终止备案</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71</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社会保障卡服务</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社会保障卡申领</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、《人力资源和社会保障部关于印发“中华人民共和国</w:t>
            </w:r>
            <w:bookmarkStart w:id="1" w:name="_GoBack"/>
            <w:bookmarkEnd w:id="1"/>
            <w:r>
              <w:rPr>
                <w:rFonts w:hint="eastAsia" w:ascii="仿宋_GB2312" w:hAnsi="宋体" w:eastAsia="仿宋_GB2312"/>
                <w:sz w:val="18"/>
                <w:szCs w:val="18"/>
              </w:rPr>
              <w:t>社会保障卡”管理办法的通知》</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72</w:t>
            </w:r>
          </w:p>
        </w:tc>
        <w:tc>
          <w:tcPr>
            <w:tcW w:w="720" w:type="dxa"/>
            <w:vMerge w:val="continue"/>
            <w:shd w:val="clear" w:color="auto" w:fill="auto"/>
            <w:vAlign w:val="center"/>
          </w:tcPr>
          <w:p>
            <w:pPr>
              <w:jc w:val="cente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社会保障卡启用（含社会保障卡银行账户激活）</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73</w:t>
            </w:r>
          </w:p>
        </w:tc>
        <w:tc>
          <w:tcPr>
            <w:tcW w:w="720" w:type="dxa"/>
            <w:vMerge w:val="continue"/>
            <w:shd w:val="clear" w:color="auto" w:fill="auto"/>
            <w:vAlign w:val="center"/>
          </w:tcPr>
          <w:p>
            <w:pPr>
              <w:jc w:val="cente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社会保障卡应用状态查询</w:t>
            </w:r>
          </w:p>
        </w:tc>
        <w:tc>
          <w:tcPr>
            <w:tcW w:w="3060" w:type="dxa"/>
            <w:vMerge w:val="continue"/>
            <w:vAlign w:val="center"/>
          </w:tcPr>
          <w:p>
            <w:pPr>
              <w:jc w:val="left"/>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74</w:t>
            </w:r>
          </w:p>
        </w:tc>
        <w:tc>
          <w:tcPr>
            <w:tcW w:w="720" w:type="dxa"/>
            <w:vMerge w:val="restart"/>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社会保障卡服务</w:t>
            </w: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社会保障卡信息变更（非关键信息）</w:t>
            </w:r>
          </w:p>
        </w:tc>
        <w:tc>
          <w:tcPr>
            <w:tcW w:w="306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事项名称、事项简述、办理材料、办理方式、办理时限、结果送达、收费依据及标准、办事时间、办理机构及地点、咨询查询途径、监督投诉渠道</w:t>
            </w:r>
          </w:p>
        </w:tc>
        <w:tc>
          <w:tcPr>
            <w:tcW w:w="2036" w:type="dxa"/>
            <w:vMerge w:val="restart"/>
            <w:vAlign w:val="center"/>
          </w:tcPr>
          <w:p>
            <w:pPr>
              <w:rPr>
                <w:rFonts w:ascii="仿宋_GB2312" w:hAnsi="宋体" w:eastAsia="仿宋_GB2312"/>
                <w:sz w:val="18"/>
                <w:szCs w:val="18"/>
              </w:rPr>
            </w:pPr>
            <w:r>
              <w:rPr>
                <w:rFonts w:hint="eastAsia" w:ascii="仿宋_GB2312" w:hAnsi="宋体" w:eastAsia="仿宋_GB2312"/>
                <w:sz w:val="18"/>
                <w:szCs w:val="18"/>
                <w:lang w:eastAsia="zh-CN"/>
              </w:rPr>
              <w:t>《中华人民共和国政府信息公开条例》</w:t>
            </w:r>
            <w:r>
              <w:rPr>
                <w:rFonts w:hint="eastAsia" w:ascii="仿宋_GB2312" w:hAnsi="宋体" w:eastAsia="仿宋_GB2312"/>
                <w:sz w:val="18"/>
                <w:szCs w:val="18"/>
              </w:rPr>
              <w:t>、</w:t>
            </w:r>
            <w:r>
              <w:rPr>
                <w:rFonts w:hint="eastAsia" w:ascii="仿宋_GB2312" w:hAnsi="宋体" w:eastAsia="仿宋_GB2312"/>
                <w:sz w:val="18"/>
                <w:szCs w:val="18"/>
                <w:lang w:eastAsia="zh-CN"/>
              </w:rPr>
              <w:t>《中华人民共和国社会保险法》</w:t>
            </w:r>
            <w:r>
              <w:rPr>
                <w:rFonts w:hint="eastAsia" w:ascii="仿宋_GB2312" w:hAnsi="宋体" w:eastAsia="仿宋_GB2312"/>
                <w:sz w:val="18"/>
                <w:szCs w:val="18"/>
              </w:rPr>
              <w:t>、《人力资源和社会保障部关于印发“中华人民共和国社会保障卡”管理办法的通知》</w:t>
            </w:r>
          </w:p>
        </w:tc>
        <w:tc>
          <w:tcPr>
            <w:tcW w:w="1620"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公开事项信息形成或变更之日起20个工作日内公开</w:t>
            </w:r>
          </w:p>
        </w:tc>
        <w:tc>
          <w:tcPr>
            <w:tcW w:w="1461" w:type="dxa"/>
            <w:vMerge w:val="restart"/>
            <w:vAlign w:val="center"/>
          </w:tcPr>
          <w:p>
            <w:pPr>
              <w:rPr>
                <w:rFonts w:ascii="仿宋_GB2312" w:hAnsi="宋体" w:eastAsia="仿宋_GB2312"/>
                <w:sz w:val="18"/>
                <w:szCs w:val="18"/>
              </w:rPr>
            </w:pPr>
            <w:r>
              <w:rPr>
                <w:rFonts w:hint="eastAsia" w:ascii="仿宋_GB2312" w:hAnsi="宋体" w:eastAsia="仿宋_GB2312"/>
                <w:sz w:val="18"/>
                <w:szCs w:val="18"/>
              </w:rPr>
              <w:t>乌审旗人力资源和社会保障局（社保和就业综合服务中心）</w:t>
            </w:r>
          </w:p>
        </w:tc>
        <w:tc>
          <w:tcPr>
            <w:tcW w:w="1200" w:type="dxa"/>
            <w:vMerge w:val="restart"/>
            <w:vAlign w:val="center"/>
          </w:tcPr>
          <w:p>
            <w:pPr>
              <w:jc w:val="left"/>
              <w:rPr>
                <w:rFonts w:ascii="仿宋_GB2312" w:hAnsi="宋体" w:eastAsia="仿宋_GB2312"/>
                <w:sz w:val="18"/>
                <w:szCs w:val="18"/>
              </w:rPr>
            </w:pPr>
            <w:r>
              <w:rPr>
                <w:rFonts w:hint="eastAsia" w:ascii="仿宋_GB2312" w:hAnsi="宋体" w:eastAsia="仿宋_GB2312"/>
                <w:sz w:val="18"/>
                <w:szCs w:val="18"/>
              </w:rPr>
              <w:t xml:space="preserve">■政府网站 </w:t>
            </w:r>
          </w:p>
          <w:p>
            <w:pPr>
              <w:jc w:val="left"/>
              <w:rPr>
                <w:rFonts w:ascii="仿宋_GB2312" w:hAnsi="宋体" w:eastAsia="仿宋_GB2312"/>
                <w:sz w:val="18"/>
                <w:szCs w:val="18"/>
              </w:rPr>
            </w:pPr>
            <w:r>
              <w:rPr>
                <w:rFonts w:hint="eastAsia" w:ascii="仿宋_GB2312" w:hAnsi="宋体" w:eastAsia="仿宋_GB2312"/>
                <w:sz w:val="18"/>
                <w:szCs w:val="18"/>
              </w:rPr>
              <w:t>■微信公众号</w:t>
            </w:r>
          </w:p>
          <w:p>
            <w:pPr>
              <w:jc w:val="left"/>
              <w:rPr>
                <w:rFonts w:ascii="仿宋_GB2312" w:hAnsi="宋体" w:eastAsia="仿宋_GB2312"/>
                <w:sz w:val="18"/>
                <w:szCs w:val="18"/>
              </w:rPr>
            </w:pPr>
          </w:p>
          <w:p>
            <w:pPr>
              <w:jc w:val="left"/>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75</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社会保障卡密码修改与重置</w:t>
            </w:r>
          </w:p>
        </w:tc>
        <w:tc>
          <w:tcPr>
            <w:tcW w:w="3060" w:type="dxa"/>
            <w:vMerge w:val="continue"/>
            <w:vAlign w:val="center"/>
          </w:tcPr>
          <w:p>
            <w:pPr>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76</w:t>
            </w:r>
          </w:p>
        </w:tc>
        <w:tc>
          <w:tcPr>
            <w:tcW w:w="720" w:type="dxa"/>
            <w:vMerge w:val="continue"/>
            <w:shd w:val="clear" w:color="auto" w:fill="auto"/>
            <w:vAlign w:val="center"/>
          </w:tcPr>
          <w:p>
            <w:pPr>
              <w:jc w:val="cente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社会保障卡挂失与解挂</w:t>
            </w:r>
          </w:p>
        </w:tc>
        <w:tc>
          <w:tcPr>
            <w:tcW w:w="3060" w:type="dxa"/>
            <w:vMerge w:val="continue"/>
            <w:vAlign w:val="center"/>
          </w:tcPr>
          <w:p>
            <w:pPr>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77</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社会保障卡补换、换领、换发</w:t>
            </w:r>
          </w:p>
        </w:tc>
        <w:tc>
          <w:tcPr>
            <w:tcW w:w="3060" w:type="dxa"/>
            <w:vMerge w:val="continue"/>
            <w:vAlign w:val="center"/>
          </w:tcPr>
          <w:p>
            <w:pPr>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540" w:type="dxa"/>
            <w:vAlign w:val="center"/>
          </w:tcPr>
          <w:p>
            <w:pPr>
              <w:jc w:val="center"/>
              <w:rPr>
                <w:rFonts w:ascii="仿宋_GB2312" w:hAnsi="宋体" w:eastAsia="仿宋_GB2312"/>
                <w:sz w:val="18"/>
                <w:szCs w:val="18"/>
              </w:rPr>
            </w:pPr>
            <w:r>
              <w:rPr>
                <w:rFonts w:ascii="仿宋_GB2312" w:hAnsi="宋体" w:eastAsia="仿宋_GB2312"/>
                <w:sz w:val="18"/>
                <w:szCs w:val="18"/>
              </w:rPr>
              <w:t>78</w:t>
            </w:r>
          </w:p>
        </w:tc>
        <w:tc>
          <w:tcPr>
            <w:tcW w:w="720" w:type="dxa"/>
            <w:vMerge w:val="continue"/>
            <w:shd w:val="clear" w:color="auto" w:fill="auto"/>
            <w:vAlign w:val="center"/>
          </w:tcPr>
          <w:p>
            <w:pPr>
              <w:rPr>
                <w:rFonts w:ascii="仿宋_GB2312" w:hAnsi="宋体" w:eastAsia="仿宋_GB2312"/>
                <w:sz w:val="18"/>
                <w:szCs w:val="18"/>
              </w:rPr>
            </w:pPr>
          </w:p>
        </w:tc>
        <w:tc>
          <w:tcPr>
            <w:tcW w:w="1080" w:type="dxa"/>
            <w:shd w:val="clear" w:color="auto" w:fill="auto"/>
            <w:vAlign w:val="center"/>
          </w:tcPr>
          <w:p>
            <w:pPr>
              <w:rPr>
                <w:rFonts w:ascii="仿宋_GB2312" w:hAnsi="宋体" w:eastAsia="仿宋_GB2312"/>
                <w:sz w:val="18"/>
                <w:szCs w:val="18"/>
              </w:rPr>
            </w:pPr>
            <w:r>
              <w:rPr>
                <w:rFonts w:hint="eastAsia" w:ascii="仿宋_GB2312" w:hAnsi="宋体" w:eastAsia="仿宋_GB2312"/>
                <w:sz w:val="18"/>
                <w:szCs w:val="18"/>
              </w:rPr>
              <w:t>社会保障卡注销</w:t>
            </w:r>
          </w:p>
        </w:tc>
        <w:tc>
          <w:tcPr>
            <w:tcW w:w="3060" w:type="dxa"/>
            <w:vMerge w:val="continue"/>
            <w:vAlign w:val="center"/>
          </w:tcPr>
          <w:p>
            <w:pPr>
              <w:rPr>
                <w:rFonts w:ascii="仿宋_GB2312" w:hAnsi="宋体" w:eastAsia="仿宋_GB2312"/>
                <w:sz w:val="18"/>
                <w:szCs w:val="18"/>
              </w:rPr>
            </w:pPr>
          </w:p>
        </w:tc>
        <w:tc>
          <w:tcPr>
            <w:tcW w:w="2036" w:type="dxa"/>
            <w:vMerge w:val="continue"/>
            <w:vAlign w:val="center"/>
          </w:tcPr>
          <w:p>
            <w:pPr>
              <w:rPr>
                <w:rFonts w:ascii="仿宋_GB2312" w:hAnsi="宋体" w:eastAsia="仿宋_GB2312"/>
                <w:sz w:val="18"/>
                <w:szCs w:val="18"/>
              </w:rPr>
            </w:pPr>
          </w:p>
        </w:tc>
        <w:tc>
          <w:tcPr>
            <w:tcW w:w="1620" w:type="dxa"/>
            <w:vMerge w:val="continue"/>
            <w:vAlign w:val="center"/>
          </w:tcPr>
          <w:p>
            <w:pPr>
              <w:rPr>
                <w:rFonts w:ascii="仿宋_GB2312" w:hAnsi="宋体" w:eastAsia="仿宋_GB2312"/>
                <w:sz w:val="18"/>
                <w:szCs w:val="18"/>
              </w:rPr>
            </w:pPr>
          </w:p>
        </w:tc>
        <w:tc>
          <w:tcPr>
            <w:tcW w:w="1461" w:type="dxa"/>
            <w:vMerge w:val="continue"/>
            <w:vAlign w:val="center"/>
          </w:tcPr>
          <w:p>
            <w:pPr>
              <w:rPr>
                <w:rFonts w:ascii="仿宋_GB2312" w:hAnsi="宋体" w:eastAsia="仿宋_GB2312"/>
                <w:sz w:val="18"/>
                <w:szCs w:val="18"/>
              </w:rPr>
            </w:pPr>
          </w:p>
        </w:tc>
        <w:tc>
          <w:tcPr>
            <w:tcW w:w="1200" w:type="dxa"/>
            <w:vMerge w:val="continue"/>
            <w:vAlign w:val="center"/>
          </w:tcPr>
          <w:p>
            <w:pPr>
              <w:rPr>
                <w:rFonts w:ascii="仿宋_GB2312" w:hAnsi="宋体" w:eastAsia="仿宋_GB2312"/>
                <w:sz w:val="18"/>
                <w:szCs w:val="18"/>
              </w:rPr>
            </w:pPr>
          </w:p>
        </w:tc>
        <w:tc>
          <w:tcPr>
            <w:tcW w:w="579"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54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　</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c>
          <w:tcPr>
            <w:tcW w:w="720" w:type="dxa"/>
            <w:shd w:val="clear" w:color="auto" w:fill="auto"/>
            <w:vAlign w:val="center"/>
          </w:tcPr>
          <w:p>
            <w:pPr>
              <w:jc w:val="center"/>
              <w:rPr>
                <w:rFonts w:ascii="仿宋_GB2312" w:hAnsi="宋体" w:eastAsia="仿宋_GB2312"/>
                <w:sz w:val="18"/>
                <w:szCs w:val="18"/>
              </w:rPr>
            </w:pPr>
            <w:r>
              <w:rPr>
                <w:rFonts w:hint="eastAsia" w:ascii="仿宋_GB2312" w:hAnsi="宋体" w:eastAsia="仿宋_GB2312"/>
                <w:sz w:val="18"/>
                <w:szCs w:val="18"/>
              </w:rPr>
              <w:t>√</w:t>
            </w:r>
          </w:p>
        </w:tc>
      </w:tr>
    </w:tbl>
    <w:p/>
    <w:sectPr>
      <w:footerReference r:id="rId3" w:type="default"/>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等线">
    <w:panose1 w:val="02010600030101010101"/>
    <w:charset w:val="86"/>
    <w:family w:val="auto"/>
    <w:pitch w:val="default"/>
    <w:sig w:usb0="A00002BF" w:usb1="38CF7CFA" w:usb2="00000016" w:usb3="00000000" w:csb0="0004000F" w:csb1="00000000"/>
  </w:font>
  <w:font w:name="方正小标宋_GBK">
    <w:panose1 w:val="03000509000000000000"/>
    <w:charset w:val="86"/>
    <w:family w:val="swiss"/>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abs>
        <w:tab w:val="left" w:pos="8204"/>
        <w:tab w:val="clear" w:pos="4153"/>
      </w:tabs>
    </w:pPr>
    <w:r>
      <w:rPr>
        <w:rFonts w:hint="eastAsia"/>
      </w:rPr>
      <w:tab/>
    </w:r>
    <w:r>
      <w:rPr>
        <w:rFonts w:hint="eastAsia"/>
      </w:rPr>
      <w:t xml:space="preserve">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6"/>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jUyMzQ1ZDEwN2FiYzE2OTQzYzcwODIxYzMwY2IifQ=="/>
  </w:docVars>
  <w:rsids>
    <w:rsidRoot w:val="00416393"/>
    <w:rsid w:val="00193DB9"/>
    <w:rsid w:val="001E6D63"/>
    <w:rsid w:val="00264E7D"/>
    <w:rsid w:val="002967AA"/>
    <w:rsid w:val="002E0878"/>
    <w:rsid w:val="003B2C77"/>
    <w:rsid w:val="004077CB"/>
    <w:rsid w:val="00416393"/>
    <w:rsid w:val="00612901"/>
    <w:rsid w:val="008438B0"/>
    <w:rsid w:val="00902A01"/>
    <w:rsid w:val="00A41EEC"/>
    <w:rsid w:val="00BB0673"/>
    <w:rsid w:val="00C76DC9"/>
    <w:rsid w:val="00D53E2D"/>
    <w:rsid w:val="00FA002F"/>
    <w:rsid w:val="0EB35ABC"/>
    <w:rsid w:val="17942DC4"/>
    <w:rsid w:val="1F8B7EF8"/>
    <w:rsid w:val="23377A03"/>
    <w:rsid w:val="265E0D7F"/>
    <w:rsid w:val="30E92464"/>
    <w:rsid w:val="319A1E96"/>
    <w:rsid w:val="36936B32"/>
    <w:rsid w:val="3743288F"/>
    <w:rsid w:val="3C8B561E"/>
    <w:rsid w:val="5C543B32"/>
    <w:rsid w:val="63152608"/>
    <w:rsid w:val="69BA6655"/>
    <w:rsid w:val="71BF05E3"/>
    <w:rsid w:val="7A105FAB"/>
    <w:rsid w:val="7D2E1C7C"/>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15"/>
    <w:qFormat/>
    <w:uiPriority w:val="0"/>
    <w:pPr>
      <w:keepNext/>
      <w:keepLines/>
      <w:spacing w:before="340" w:after="330" w:line="578" w:lineRule="auto"/>
      <w:outlineLvl w:val="0"/>
    </w:pPr>
    <w:rPr>
      <w:b/>
      <w:bCs/>
      <w:kern w:val="44"/>
      <w:sz w:val="44"/>
      <w:szCs w:val="4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7"/>
    <w:semiHidden/>
    <w:qFormat/>
    <w:uiPriority w:val="0"/>
    <w:pPr>
      <w:jc w:val="left"/>
    </w:pPr>
  </w:style>
  <w:style w:type="paragraph" w:styleId="4">
    <w:name w:val="Balloon Text"/>
    <w:basedOn w:val="1"/>
    <w:link w:val="19"/>
    <w:autoRedefine/>
    <w:semiHidden/>
    <w:qFormat/>
    <w:uiPriority w:val="0"/>
    <w:rPr>
      <w:sz w:val="18"/>
      <w:szCs w:val="18"/>
    </w:rPr>
  </w:style>
  <w:style w:type="paragraph" w:styleId="5">
    <w:name w:val="footer"/>
    <w:basedOn w:val="1"/>
    <w:link w:val="22"/>
    <w:qFormat/>
    <w:uiPriority w:val="0"/>
    <w:pPr>
      <w:tabs>
        <w:tab w:val="center" w:pos="4153"/>
        <w:tab w:val="right" w:pos="8306"/>
      </w:tabs>
      <w:snapToGrid w:val="0"/>
      <w:jc w:val="left"/>
    </w:pPr>
    <w:rPr>
      <w:sz w:val="18"/>
      <w:szCs w:val="18"/>
    </w:rPr>
  </w:style>
  <w:style w:type="paragraph" w:styleId="6">
    <w:name w:val="header"/>
    <w:basedOn w:val="1"/>
    <w:link w:val="21"/>
    <w:qFormat/>
    <w:uiPriority w:val="0"/>
    <w:pPr>
      <w:pBdr>
        <w:bottom w:val="single" w:color="auto" w:sz="6" w:space="1"/>
      </w:pBdr>
      <w:tabs>
        <w:tab w:val="center" w:pos="4153"/>
        <w:tab w:val="right" w:pos="8306"/>
      </w:tabs>
      <w:snapToGrid w:val="0"/>
      <w:jc w:val="center"/>
    </w:pPr>
    <w:rPr>
      <w:sz w:val="18"/>
      <w:szCs w:val="18"/>
    </w:rPr>
  </w:style>
  <w:style w:type="paragraph" w:styleId="7">
    <w:name w:val="toc 1"/>
    <w:basedOn w:val="1"/>
    <w:next w:val="1"/>
    <w:autoRedefine/>
    <w:semiHidden/>
    <w:qFormat/>
    <w:uiPriority w:val="0"/>
    <w:pPr>
      <w:tabs>
        <w:tab w:val="right" w:leader="dot" w:pos="14760"/>
      </w:tabs>
      <w:spacing w:line="700" w:lineRule="exact"/>
      <w:ind w:left="359" w:leftChars="171" w:right="332" w:rightChars="158"/>
    </w:pPr>
  </w:style>
  <w:style w:type="paragraph" w:styleId="8">
    <w:name w:val="annotation subject"/>
    <w:basedOn w:val="3"/>
    <w:next w:val="3"/>
    <w:link w:val="18"/>
    <w:autoRedefine/>
    <w:semiHidden/>
    <w:qFormat/>
    <w:uiPriority w:val="0"/>
    <w:rPr>
      <w:b/>
      <w:bCs/>
    </w:rPr>
  </w:style>
  <w:style w:type="table" w:styleId="10">
    <w:name w:val="Table Grid"/>
    <w:basedOn w:val="9"/>
    <w:autoRedefine/>
    <w:qFormat/>
    <w:uiPriority w:val="0"/>
    <w:rPr>
      <w:rFonts w:ascii="Calibri" w:hAnsi="Calibri" w:eastAsia="宋体" w:cs="Times New Roman"/>
      <w:lang w:bidi="mn-Mong-C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2">
    <w:name w:val="page number"/>
    <w:basedOn w:val="11"/>
    <w:qFormat/>
    <w:uiPriority w:val="0"/>
  </w:style>
  <w:style w:type="character" w:styleId="13">
    <w:name w:val="Hyperlink"/>
    <w:autoRedefine/>
    <w:qFormat/>
    <w:uiPriority w:val="0"/>
    <w:rPr>
      <w:color w:val="0000FF"/>
      <w:u w:val="single"/>
    </w:rPr>
  </w:style>
  <w:style w:type="character" w:styleId="14">
    <w:name w:val="annotation reference"/>
    <w:semiHidden/>
    <w:qFormat/>
    <w:uiPriority w:val="0"/>
    <w:rPr>
      <w:sz w:val="21"/>
      <w:szCs w:val="21"/>
    </w:rPr>
  </w:style>
  <w:style w:type="character" w:customStyle="1" w:styleId="15">
    <w:name w:val="标题 1 Char"/>
    <w:basedOn w:val="11"/>
    <w:link w:val="2"/>
    <w:qFormat/>
    <w:uiPriority w:val="0"/>
    <w:rPr>
      <w:rFonts w:ascii="Calibri" w:hAnsi="Calibri" w:eastAsia="宋体" w:cs="Times New Roman"/>
      <w:b/>
      <w:bCs/>
      <w:kern w:val="44"/>
      <w:sz w:val="44"/>
      <w:szCs w:val="44"/>
    </w:rPr>
  </w:style>
  <w:style w:type="paragraph" w:customStyle="1" w:styleId="16">
    <w:name w:val="列出段落1"/>
    <w:basedOn w:val="1"/>
    <w:qFormat/>
    <w:uiPriority w:val="0"/>
    <w:pPr>
      <w:ind w:firstLine="420" w:firstLineChars="200"/>
    </w:pPr>
    <w:rPr>
      <w:rFonts w:ascii="等线" w:hAnsi="等线" w:eastAsia="等线"/>
    </w:rPr>
  </w:style>
  <w:style w:type="character" w:customStyle="1" w:styleId="17">
    <w:name w:val="批注文字 Char"/>
    <w:basedOn w:val="11"/>
    <w:link w:val="3"/>
    <w:semiHidden/>
    <w:qFormat/>
    <w:uiPriority w:val="0"/>
    <w:rPr>
      <w:rFonts w:ascii="Calibri" w:hAnsi="Calibri" w:eastAsia="宋体" w:cs="Times New Roman"/>
    </w:rPr>
  </w:style>
  <w:style w:type="character" w:customStyle="1" w:styleId="18">
    <w:name w:val="批注主题 Char"/>
    <w:basedOn w:val="17"/>
    <w:link w:val="8"/>
    <w:autoRedefine/>
    <w:semiHidden/>
    <w:qFormat/>
    <w:uiPriority w:val="0"/>
    <w:rPr>
      <w:rFonts w:ascii="Calibri" w:hAnsi="Calibri" w:eastAsia="宋体" w:cs="Times New Roman"/>
      <w:b/>
      <w:bCs/>
    </w:rPr>
  </w:style>
  <w:style w:type="character" w:customStyle="1" w:styleId="19">
    <w:name w:val="批注框文本 Char"/>
    <w:basedOn w:val="11"/>
    <w:link w:val="4"/>
    <w:autoRedefine/>
    <w:semiHidden/>
    <w:qFormat/>
    <w:uiPriority w:val="0"/>
    <w:rPr>
      <w:rFonts w:ascii="Calibri" w:hAnsi="Calibri" w:eastAsia="宋体" w:cs="Times New Roman"/>
      <w:sz w:val="18"/>
      <w:szCs w:val="18"/>
    </w:rPr>
  </w:style>
  <w:style w:type="paragraph" w:customStyle="1" w:styleId="20">
    <w:name w:val="列出段落11"/>
    <w:basedOn w:val="1"/>
    <w:qFormat/>
    <w:uiPriority w:val="0"/>
    <w:pPr>
      <w:ind w:firstLine="420" w:firstLineChars="200"/>
    </w:pPr>
  </w:style>
  <w:style w:type="character" w:customStyle="1" w:styleId="21">
    <w:name w:val="页眉 Char"/>
    <w:basedOn w:val="11"/>
    <w:link w:val="6"/>
    <w:autoRedefine/>
    <w:qFormat/>
    <w:uiPriority w:val="0"/>
    <w:rPr>
      <w:rFonts w:ascii="Calibri" w:hAnsi="Calibri" w:eastAsia="宋体" w:cs="Times New Roman"/>
      <w:sz w:val="18"/>
      <w:szCs w:val="18"/>
    </w:rPr>
  </w:style>
  <w:style w:type="character" w:customStyle="1" w:styleId="22">
    <w:name w:val="页脚 Char"/>
    <w:basedOn w:val="11"/>
    <w:link w:val="5"/>
    <w:autoRedefine/>
    <w:qFormat/>
    <w:uiPriority w:val="0"/>
    <w:rPr>
      <w:rFonts w:ascii="Calibri" w:hAnsi="Calibri" w:eastAsia="宋体" w:cs="Times New Roman"/>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566B28-15E5-4ACF-BA03-DCBA3556CB55}">
  <ds:schemaRefs/>
</ds:datastoreItem>
</file>

<file path=docProps/app.xml><?xml version="1.0" encoding="utf-8"?>
<Properties xmlns="http://schemas.openxmlformats.org/officeDocument/2006/extended-properties" xmlns:vt="http://schemas.openxmlformats.org/officeDocument/2006/docPropsVTypes">
  <Template>Normal</Template>
  <Company>Micorosoft</Company>
  <Pages>1</Pages>
  <Words>1125</Words>
  <Characters>6418</Characters>
  <Lines>53</Lines>
  <Paragraphs>15</Paragraphs>
  <TotalTime>2</TotalTime>
  <ScaleCrop>false</ScaleCrop>
  <LinksUpToDate>false</LinksUpToDate>
  <CharactersWithSpaces>7528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2020-03-06T06:58:00Z</dcterms:created>
  <dc:creator>tai yuzhu</dc:creator>
  <cp:lastModifiedBy>绿茶咖啡</cp:lastModifiedBy>
  <cp:lastPrinted>2020-11-13T06:37:00Z</cp:lastPrinted>
  <dcterms:modified xsi:type="dcterms:W3CDTF">2024-03-22T03:24:21Z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D61485ED84554C4897906A75B2673F83_12</vt:lpwstr>
  </property>
</Properties>
</file>