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食品药品监管领域基层政务公开标准目录</w:t>
      </w:r>
    </w:p>
    <w:tbl>
      <w:tblPr>
        <w:tblStyle w:val="9"/>
        <w:tblW w:w="15480" w:type="dxa"/>
        <w:tblInd w:w="-7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食品经营许可服务指南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》《关于全面推进政务公开工作的意见》《食品药品安全监管信息公开管理办法》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</w:tcPr>
          <w:p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中华人民共和国食品安全法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特殊食品经营监督检查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》《关于全面推进政务公开工作的意见》《食品药品安全监管信息公开管理办法》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》《关于全面推进政务公开工作的意见》《食品药品安全监管信息公开管理办法》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》《关于全面推进政务公开工作的意见》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》《关于全面推进政务公开工作的意见》 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》、《关于全面推进政务公开工作的意见》《食品药品投诉举报管理办法》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》、《关于全面推进政务公开工作的意见》</w:t>
            </w:r>
          </w:p>
        </w:tc>
        <w:tc>
          <w:tcPr>
            <w:tcW w:w="126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>
      <w:pPr>
        <w:jc w:val="left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xMmRlODM0ZDBjMzcwZjQxMzRiOGRlNjc2ZjBhZWQifQ=="/>
  </w:docVars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77273F"/>
    <w:rsid w:val="00794728"/>
    <w:rsid w:val="007E372B"/>
    <w:rsid w:val="008438B0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DB48BD"/>
    <w:rsid w:val="00E31701"/>
    <w:rsid w:val="00F07C25"/>
    <w:rsid w:val="00FA002F"/>
    <w:rsid w:val="167236F9"/>
    <w:rsid w:val="2F696F51"/>
    <w:rsid w:val="32BA381F"/>
    <w:rsid w:val="54E95F8E"/>
    <w:rsid w:val="56A52B6C"/>
    <w:rsid w:val="643E3645"/>
    <w:rsid w:val="7286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Char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Char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Char"/>
    <w:basedOn w:val="18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Char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1"/>
    <w:basedOn w:val="1"/>
    <w:qFormat/>
    <w:uiPriority w:val="0"/>
    <w:pPr>
      <w:ind w:firstLine="420" w:firstLineChars="200"/>
    </w:pPr>
  </w:style>
  <w:style w:type="character" w:customStyle="1" w:styleId="22">
    <w:name w:val="页眉 Char"/>
    <w:basedOn w:val="11"/>
    <w:link w:val="6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Char"/>
    <w:basedOn w:val="11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FD8C9-DCEC-4CDC-A846-EAEDB2A86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6</Pages>
  <Words>466</Words>
  <Characters>2658</Characters>
  <Lines>22</Lines>
  <Paragraphs>6</Paragraphs>
  <TotalTime>4</TotalTime>
  <ScaleCrop>false</ScaleCrop>
  <LinksUpToDate>false</LinksUpToDate>
  <CharactersWithSpaces>3118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2020-03-06T07:49:00Z</dcterms:created>
  <dc:creator>tai yuzhu</dc:creator>
  <cp:lastModifiedBy>绿茶咖啡</cp:lastModifiedBy>
  <dcterms:modified xsi:type="dcterms:W3CDTF">2024-03-25T03:28:18Z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3581163D622A41EF98F20E04444F24C1_12</vt:lpwstr>
  </property>
</Properties>
</file>