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（十三）生态环境领域基层政务公开标准目录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中华人民共和国环境影响评价法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中华人民共和国海洋环境保护法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中华人民共和国放射性污染防治法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旗级生态环境分局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行政处罚行政强制和行政命令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中华人民共和国水污染防治法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中华人民共和国海洋环境保护法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中华人民共和国大气污染防治法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中华人民共和国环境噪声污染防治法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中华人民共和国固体废物污染环境防治法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中华人民共和国放射性污染防治法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中华人民共和国环境影响评价法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旗级生态环境分局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旗级生态环境分局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旗级生态环境分局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微信公众号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实时空气质量指数（AQI）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旗级生态环境分局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微信公众号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416393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612901"/>
    <w:rsid w:val="008438B0"/>
    <w:rsid w:val="00902A01"/>
    <w:rsid w:val="00A41EEC"/>
    <w:rsid w:val="00C3715A"/>
    <w:rsid w:val="00FA002F"/>
    <w:rsid w:val="05897977"/>
    <w:rsid w:val="4C844FE3"/>
    <w:rsid w:val="561C3668"/>
    <w:rsid w:val="565F3301"/>
    <w:rsid w:val="59FC44F7"/>
    <w:rsid w:val="6C1860F6"/>
    <w:rsid w:val="7BD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9998-C944-491F-9EEA-2F7271A6C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618</Words>
  <Characters>3525</Characters>
  <Lines>29</Lines>
  <Paragraphs>8</Paragraphs>
  <TotalTime>52</TotalTime>
  <ScaleCrop>false</ScaleCrop>
  <LinksUpToDate>false</LinksUpToDate>
  <CharactersWithSpaces>4135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tai yuzhu</dc:creator>
  <cp:lastModifiedBy>绿茶咖啡</cp:lastModifiedBy>
  <cp:lastPrinted>2020-11-03T00:49:00Z</cp:lastPrinted>
  <dcterms:modified xsi:type="dcterms:W3CDTF">2024-03-21T02:25:55Z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8DC63FE6345041BE809970BC9E3992BD_12</vt:lpwstr>
  </property>
</Properties>
</file>