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</w:t>
            </w:r>
            <w:bookmarkStart w:id="1" w:name="_GoBack"/>
            <w:bookmarkEnd w:id="1"/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和国政府信息公开条例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》、《城市绿化条例》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中华人民共和国城市供水条例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中华人民共和国城市供水条例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仿宋_GB2312" w:hAnsi="Times New Roman" w:eastAsia="仿宋_GB2312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jUyMzQ1ZDEwN2FiYzE2OTQzYzcwODIxYzMwY2IifQ=="/>
  </w:docVars>
  <w:rsids>
    <w:rsidRoot w:val="00416393"/>
    <w:rsid w:val="00146120"/>
    <w:rsid w:val="00190068"/>
    <w:rsid w:val="00193DB9"/>
    <w:rsid w:val="001E6D63"/>
    <w:rsid w:val="002967AA"/>
    <w:rsid w:val="002E0878"/>
    <w:rsid w:val="003B2C77"/>
    <w:rsid w:val="004077CB"/>
    <w:rsid w:val="00416393"/>
    <w:rsid w:val="00505CE0"/>
    <w:rsid w:val="00612901"/>
    <w:rsid w:val="0077273F"/>
    <w:rsid w:val="008438B0"/>
    <w:rsid w:val="00902A01"/>
    <w:rsid w:val="00A41EEC"/>
    <w:rsid w:val="00AA6B60"/>
    <w:rsid w:val="00B56955"/>
    <w:rsid w:val="00C3715A"/>
    <w:rsid w:val="00FA002F"/>
    <w:rsid w:val="00FD423A"/>
    <w:rsid w:val="366A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C216-C0C9-424E-A7CF-8EAE54ECE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1279</Characters>
  <Lines>10</Lines>
  <Paragraphs>2</Paragraphs>
  <TotalTime>2</TotalTime>
  <ScaleCrop>false</ScaleCrop>
  <LinksUpToDate>false</LinksUpToDate>
  <CharactersWithSpaces>1501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2020-03-06T07:06:00Z</dcterms:created>
  <dc:creator>tai yuzhu</dc:creator>
  <cp:lastModifiedBy>绿茶咖啡</cp:lastModifiedBy>
  <dcterms:modified xsi:type="dcterms:W3CDTF">2024-03-27T03:43:28Z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680A2D4F9ABD48739BA575FC6EFF7614_12</vt:lpwstr>
  </property>
</Properties>
</file>